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190/2019 vom 2. April 2019</w:t>
      </w:r>
    </w:p>
    <w:p>
      <w:r>
        <w:t>Bundesgericht, 2019-04-02, DE</w:t>
      </w:r>
    </w:p>
    <w:p>
      <w:r>
        <w:rPr>
          <w:b/>
        </w:rPr>
        <w:t xml:space="preserve">Quelle: </w:t>
      </w:r>
      <w:r>
        <w:t>https://mcp.opencaselaw.ch/entscheid/bger_1C_190_2019</w:t>
      </w:r>
    </w:p>
    <w:p>
      <w:r>
        <w:t>FR: TF 1C 190/2019 du 2 avril 2019</w:t>
      </w:r>
    </w:p>
    <w:p>
      <w:r>
        <w:t>IT: TF 1C 190/2019 del 2 aprile 2019</w:t>
      </w:r>
    </w:p>
    <w:p>
      <w:pPr>
        <w:pStyle w:val="Heading2"/>
      </w:pPr>
      <w:r>
        <w:t>Regeste</w:t>
      </w:r>
    </w:p>
    <w:p>
      <w:r>
        <w:t>Ermächtigung zur Eröffnung einer Strafuntersuchung | Strafprozess</w:t>
      </w:r>
    </w:p>
    <w:p>
      <w:pPr>
        <w:pStyle w:val="Heading2"/>
      </w:pPr>
      <w:r>
        <w:t>Erwägungen</w:t>
      </w:r>
    </w:p>
    <w:p>
      <w:r>
        <w:rPr>
          <w:b/>
        </w:rPr>
        <w:t>E. 1</w:t>
      </w:r>
    </w:p>
    <w:p>
      <w:r>
        <w:t>A.________ reichte am 22. Juni 2018 bei der Stadtpolizei Zürich Strafanzeige gegen den Kommandanten Feuerwehr und Zivilschutz von Schutz &amp; Rettung Zürich wegen Ehrverletzung ein. Die Strafanzeige steht im Zusammenhang mit dem Ausschluss der Anzeigerin aus der Milizfeuerwehr bei Schutz &amp; Rettung Zürich. Die Staatsanwaltschaft Zürich-Sihl überwies die Akten mit Verfügung vom 27. November 2018 dem Obergericht des Kantons Zürich zum Entscheid betreffend Ermächtigung zur Eröffnung einer Strafuntersuchung. Die III. Strafkammer des Obergerichts des Kantons Zürich erteilte mit Beschluss vom 4. Februar 2019 der Staatsanwaltschaft die Ermächtigung zum Entscheid über die Untersuchungseröffnung bzw. die Nichtanhandnahme des Strafverfahrens nicht. Die III. Strafkammer führte zur Begründung zusammenfassend aus, dass aufgrund der Darstellung der Anzeigerin nicht von einem Anfangsverdacht auf eine strafbare Handlung geschlossen werden könne.</w:t>
      </w:r>
    </w:p>
    <w:p>
      <w:r>
        <w:rPr>
          <w:b/>
        </w:rPr>
        <w:t>E. 2</w:t>
      </w:r>
    </w:p>
    <w:p>
      <w:r>
        <w:t>A.________ führt mit Eingabe vom 28. März 2019 (Postaufgabe 29. März 2019) Beschwerde in öffentlich-rechtlichen Angelegenheiten gegen den Beschluss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Die III. Strafkammer legte im angefochtenen Beschluss dar, weshalb nach ihrer Auffassung keine Ehrverletzung vorliege. Mit diesen Ausführungen setzt sich die Beschwerdeführerin nicht rechtsgenüglich auseinander und vermag nicht aufzuzeigen, inwiefern die Begründung der III. Strafkammer, die zur Verweigerung der Ermächtigung führte, bzw. der Beschluss der III. Strafkammer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