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190/2017 vom 7. April 2017</w:t>
      </w:r>
    </w:p>
    <w:p>
      <w:r>
        <w:t>Bundesgericht, 2017-04-07, FR</w:t>
      </w:r>
    </w:p>
    <w:p>
      <w:r>
        <w:rPr>
          <w:b/>
        </w:rPr>
        <w:t xml:space="preserve">Quelle: </w:t>
      </w:r>
      <w:r>
        <w:t>https://mcp.opencaselaw.ch/entscheid/bger_1C_190_2017</w:t>
      </w:r>
    </w:p>
    <w:p>
      <w:r>
        <w:t>FR: TF 1C 190/2017 du 7 avril 2017</w:t>
      </w:r>
    </w:p>
    <w:p>
      <w:r>
        <w:t>IT: TF 1C 190/2017 del 7 aprile 2017</w:t>
      </w:r>
    </w:p>
    <w:p>
      <w:pPr>
        <w:pStyle w:val="Heading2"/>
      </w:pPr>
      <w:r>
        <w:t>Regeste</w:t>
      </w:r>
    </w:p>
    <w:p>
      <w:r>
        <w:t>Entraide judiciaire internationale en matière pénale avec la France; remise de moyens de preuve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Le recours porte certes sur la transmission de renseignements touchant le domaine secret. Toutefois, compte tenu des faits à l'origine de la demande - il ne s'agit en particulier pas de délits politiques ou fiscaux - et de la nature de la transmission envisagée, limitée à de la documentation bancaire, le cas ne revêt en soi aucune importance particulière. Comme seul motif d'entrée en matière, les recourants relèvent que les faits poursuivis en France (commerce fictif de droits d'émission de CO2) auraient généré des profits de l'ordre de 420 millions de francs. La jurisprudence admet que l'importance des montants en jeu peut dans certains cas justifier une entrée en matière. Il s'agit alors non pas du produit des infractions poursuivies, mais des montants qui sont séquestrés en Suisse à la demande de l'autorité étrangère, en raison de l'importance de l'atteinte au droit de propriété de la personne touchée (cf. arrêt 1C_239/2014 du 18 août 2014 consid. 1; cf. aussi ROBERT ZIMMERMANN, La coopération judiciaire internationale en matière pénale, 4 ème éd., 2014, p. 546 et note 2690). Or, les recourants ne soutiennent pas que l'importance des sommes saisies en Suisse (au demeurant dans le cadre d'une procédure pénale nationale) justifierait à elle seule une entrée en matière. Les griefs relatifs aux principes de double incrimination et de proportionnalité ne soulèvent par ailleurs aucune question de principe.</w:t>
      </w:r>
    </w:p>
    <w:p>
      <w:r>
        <w:rPr>
          <w:b/>
        </w:rPr>
        <w:t>E. 2</w:t>
      </w:r>
    </w:p>
    <w:p>
      <w:r>
        <w:t>Faute de porter sur un cas particulièrement important, le recours est irrecevable.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