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1C_190/2009 vom 25. Februar 2010</w:t>
      </w:r>
    </w:p>
    <w:p>
      <w:r>
        <w:t>Bundesgericht, 2010-02-25, DE</w:t>
      </w:r>
    </w:p>
    <w:p>
      <w:r>
        <w:rPr>
          <w:b/>
        </w:rPr>
        <w:t xml:space="preserve">Quelle: </w:t>
      </w:r>
      <w:r>
        <w:t>https://mcp.opencaselaw.ch/entscheid/bger_1C_190_2009</w:t>
      </w:r>
    </w:p>
    <w:p>
      <w:r>
        <w:t>FR: TF 1C_190/2009 du 25 février 2010</w:t>
      </w:r>
    </w:p>
    <w:p>
      <w:r>
        <w:t>IT: TF 1C_190/2009 del 25 febbraio 2010</w:t>
      </w:r>
    </w:p>
    <w:p>
      <w:pPr>
        <w:pStyle w:val="Heading2"/>
      </w:pPr>
      <w:r>
        <w:t>Erwägungen</w:t>
      </w:r>
    </w:p>
    <w:p>
      <w:r>
        <w:rPr>
          <w:b/>
        </w:rPr>
        <w:t>E. 1</w:t>
      </w:r>
    </w:p>
    <w:p>
      <w:r>
        <w:t>Die Sachurteilsvoraussetzungen sind erfüllt und geben zu keinen Bemerkungen Anlass. Auf die Beschwerde ist damit einzutreten.</w:t>
      </w:r>
    </w:p>
    <w:p>
      <w:r>
        <w:rPr>
          <w:b/>
        </w:rPr>
        <w:t>E. 2.1</w:t>
      </w:r>
    </w:p>
    <w:p>
      <w:r>
        <w:t>Der Beschwerdeführer rügt eine Verletzung des Anspruchs auf rechtliches Gehör. Er beanstandet, das Verwaltungsgericht habe ihm keine Gelegenheit eingeräumt, bei der Stellung der an den Experten gerichteten Fragen mitzuwirken. Er, der Beschwerdeführer, habe bloss nachträglich Fragen an den Experten richten können, welche von diesem aber nicht vollständig beantwortet worden seien. Des Weitern habe sich das Verwaltungsgericht nicht mit allen seinen Vorbringen auseinandergesetzt und den angefochtenen Entscheid in diverser Hinsicht zu wenig begründet.</w:t>
      </w:r>
    </w:p>
    <w:p>
      <w:r>
        <w:rPr>
          <w:b/>
        </w:rPr>
        <w:t>E. 2.2</w:t>
      </w:r>
    </w:p>
    <w:p>
      <w:r>
        <w:t>Der Umfang des Anspruchs auf rechtliches Gehör richtet sich in erster Linie nach dem einschlägigen kantonalen Verfahrensrecht, subsidiär nach den Mindestgarantien nach Art. 29 Abs. 2 BV . Der Beschwerdeführer zeigt nicht auf, inwiefern kantonales Verfahrensrecht verletzt sein soll. Die Rüge der Verletzung des Gehörsanspruchs ist deshalb einzig nach Art. 29 Abs. 2 BV zu prüfen.</w:t>
      </w:r>
    </w:p>
    <w:p>
      <w:r>
        <w:rPr>
          <w:b/>
        </w:rPr>
        <w:t>E. 2.3</w:t>
      </w:r>
    </w:p>
    <w:p>
      <w:r>
        <w:t>Das rechtliche Gehör gemäss Art. 29 Abs. 2 BV dient einerseits der Sachaufklärung, andererseits stellt es ein persönlichkeitsbezogenes Mitwirkungsrecht beim Erlass eines Entscheids dar, welcher in die Rechtsstellung des Einzelnen eingreift. Dazu gehört insbesondere das Recht des Betroffenen, an der Erhebung wesentlicher Beweise entweder mitzuwirken oder sich zumindest zum Beweisergebnis zu äussern, wenn dieses geeignet ist, den Entscheid zu beeinflussen ( BGE 135 II 286 E. 5.1 S. 293 mit Hinweisen). Einen verfassungsmässigen Anspruch auf Mitwirkung bei der Instruktion eines Experten besitzt der Rechtsunterworfene nur dann, wenn dies für die Festlegung des zu begutachtenden Sachverhalts unerlässlich ist ( BGE 125 II 591 E. 7d S. 604 mit Hinweisen).</w:t>
      </w:r>
    </w:p>
    <w:p>
      <w:r>
        <w:rPr>
          <w:b/>
        </w:rPr>
        <w:t>E. 2.4</w:t>
      </w:r>
    </w:p>
    <w:p>
      <w:r>
        <w:t>Der Beschwerdeführer stellt nicht in Abrede, dass er dem Gutachter nachträglich Fragen stellen konnte. Er hatte demnach Gelegenheit, zum Beweisergebnis Stellung zu nehmen. Dem Gehörsanspruch nach Art. 29 Abs. 2 BV ist damit Genüge getan. Der Beschwerdeführer legt nicht rechtsgenüglich dar, inwiefern die Mitwirkung an der Instruktion des Experten für die Festlegung des zu prüfenden Sachverhalts nötig gewesen wäre. Wenn der Experte nicht sämtliche Zusatzfragen beantwortet hat, wie der Beschwerdeführer ausführt, so ist dies nicht ein Problem des Anspruchs auf rechtliches Gehör, sondern eine Frage der Überzeugungskraft des Gutachtens.</w:t>
      </w:r>
    </w:p>
    <w:p>
      <w:r>
        <w:rPr>
          <w:b/>
        </w:rPr>
        <w:t>E. 2.5</w:t>
      </w:r>
    </w:p>
    <w:p>
      <w:r>
        <w:t>Des Weitern verlangt Art. 29 Abs. 2 BV ,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134 I 83 E. 4.1 S. 88 mit Hinweisen).</w:t>
      </w:r>
    </w:p>
    <w:p>
      <w:r>
        <w:rPr>
          <w:b/>
        </w:rPr>
        <w:t>E. 2.6</w:t>
      </w:r>
    </w:p>
    <w:p>
      <w:r>
        <w:t>Zum einen bemängelt der Beschwerdeführer, die Vorinstanz habe seine Eventualanträge (erneutes Rekusationsbegehren gegen den Experten; Einholung eines Obergutachtens; nachträgliche Experteninstruktion; Anweisung des Experten zur Beantwortung einer Zusatzfrage) nicht behandelt.</w:t>
      </w:r>
    </w:p>
    <w:p>
      <w:r>
        <w:t>In diesem Punkt ist dem Beschwerdeführer nicht zu folgen. Die Vorinstanz ist vom Erstgutachten überzeugt. Daraus lässt sich implizit ableiten, warum sie die Erstellung eines Obergutachtens und eine zusätzliche Instruktion des Experten als überflüssig erachtet. Dasselbe gilt für das Rekusationsbegehren, zu dessen Begründung der Beschwerdeführer die fachlichen Schlussfolgerungen des Experten anführt. In Anbetracht dieser klaren Sachlage war die Vorinstanz nicht gehalten, die Abweisung der Eventualanträge des Beschwerdeführers ausdrücklich zu begründen.</w:t>
      </w:r>
    </w:p>
    <w:p>
      <w:r>
        <w:t>Zum andern beanstandet der Beschwerdeführer, er habe differenziert und unter Beilegung von drei Auszügen aus der Fachliteratur dargetan, dass der Experte die Problematik der tieffrequenten Geräuschübertragung bei Holzkonstruktionen verkannt und das Schalldämmvermögen von Holzkonstruktionen bei tiefen Tönen komplett falsch eingeschätzt habe. Die Vorinstanz habe die Argumentation des Beschwerdeführers betreffend Schallschutzdämmung bei Holzkonstruktionen im tieffrequenten Lärmbereich als "wenig überzeugend" bezeichnet. Sie habe aber nicht dargelegt, warum sie die Argumentation des Beschwerdeführers ablehne.</w:t>
      </w:r>
    </w:p>
    <w:p>
      <w:r>
        <w:t>Dieser Beanstandung ist beizupflichten. Die Vorinstanz legte nicht dar, aus welchen Gründen sie die auf Fachliteratur gestützte Ansicht des Beschwerdeführers, dass eine genügende Schalldämmung bei tiefen Frequenzen nur durch einen Massivbau erreicht werden könne, als unzutreffend erachtet. Dieser Punkt ist für den Verfahrensausgang wesentlich (vgl. nachfolgend). Insoweit hat die Vorinstanz ihre aus dem Anspruch auf rechtliches Gehör fliessende Begründungspflicht verletzt.</w:t>
      </w:r>
    </w:p>
    <w:p>
      <w:r>
        <w:rPr>
          <w:b/>
        </w:rPr>
        <w:t>E. 3.1</w:t>
      </w:r>
    </w:p>
    <w:p>
      <w:r>
        <w:t>Als Zweites beanstandet der Beschwerdeführer die Sachverhaltsabklärung und verlangt die Einholung einer Oberexpertise über die Lärmbelastung des geplanten Jugendtreffs.</w:t>
      </w:r>
    </w:p>
    <w:p>
      <w:r>
        <w:t>Der Beschwerdeführer bringt vor, der Experte habe die Einhaltung der Grenzwerte nicht bei allen Liegenschaften gemessen. Aus dem Gutachten sei nicht ersichtlich, welchen Immissionen die Liegenschaften an der Bahnhofstrasse 12 und an der Gartenstrasse 24 ausgesetzt seien. Diese Liegenschaften würden dem Jugendtreff näher liegen als die seinigen. Es müsse davon ausgegangen werden, dass die Grenzwerte dort nicht eingehalten seien.</w:t>
      </w:r>
    </w:p>
    <w:p>
      <w:r>
        <w:t>Weiter kritisiert der Beschwerdeführer die dem Gutachten zugrunde gelegten Grenzwerte. Seiner Ansicht nach kommen die um 5 dB(A) strengeren Grenzwerte der herangezogenen Vollzugshilfe des "Cercle Bruit" (Vereinigung kantonaler Lärmschutzfachleute; vgl. zu diesen Richtlinien das in der Sache ergangene Bundesgerichtsurteil 1A.180/2006 vom 9. August 2007 E. 5.7 und E. 5.8) zur Anwendung, da es sich bei seiner Liegenschaft um ein kleines Wohngebäude handle.</w:t>
      </w:r>
    </w:p>
    <w:p>
      <w:r>
        <w:t>Schliesslich macht der Beschwerdeführer geltend, der Experte habe sich nicht zur Frage geäussert, ob eine Leichtbaukonstruktion (Holzbau) als Schalldämmung gegen den Discobetrieb überhaupt tauglich sei und dem Vorsorgeprinzip ( Art. 11 Abs. 2 USG ) bzw. der vorsorglichen Emissionsbegrenzung ( Art. 11 Abs. 3 USG ) entspreche. Der Beschwerdeführer bezweifelt, dass das Vorsorgeprinzip bei Musiklokalen infolge des geringen Schalldämmvermögens von Holzbauten bei tiefen Frequenzen erfüllt werden kann. Er stützt sich dabei auf ein von ihm in Auftrag gegebenes Kurzgutachten. Seiner Ansicht nach kann das Bauvorhaben nur unter der Auflage bewilligt werden, dass ein Massivbau erstellt wird, welcher auch bei tiefen Tonlagen eine ausreichende Schalldämmung gewährleistet.</w:t>
      </w:r>
    </w:p>
    <w:p>
      <w:r>
        <w:rPr>
          <w:b/>
        </w:rPr>
        <w:t>E. 3.2</w:t>
      </w:r>
    </w:p>
    <w:p>
      <w:r>
        <w:t>Das Verwaltungsgericht geht davon aus, dass die Grenzwerte selbst bei Discobetrieb im Jugendtreff überall eingehalten werden können. Es erachtet das Gutachten als ausreichend. Der erwartete, von einzelnen Gruppen Jugendlicher ausgehende Lärm könne durch eine Hausordnung, entsprechende Sanktionen und eine automatische Türschliessungsanlage vermieden werden.</w:t>
      </w:r>
    </w:p>
    <w:p>
      <w:r>
        <w:t>Die Vorinstanz führt aus, die Liegenschaft an der Bahnhofstrasse 12 (Parzelle Nr. 495) liege nur drei bis vier Meter näher beim Jugendtreff als der gemessene Punkt E1. Es sei nicht ersichtlich, durch welche Faktoren die Immissionen auf der Parzelle Nr. 495 intensiver sein sollten als beim Punkt E1. Bei geschlossener Tür des Jugendtreffs würden die Lärmgrenzwerte eindeutig nicht überschritten. Bezüglich der Liegenschaft auf der Gartenstrasse 24 (Parzelle Nr. 308) sei zu bemerken, dass diese Parzelle auf der anderen Seite der Geleise liege, also im Nordosten des Jugendtreffs. Der Haupteingang des Jugendtreffs öffne sich Richtung Südwesten, weshalb die Lärmvorschriften offensichtlich eingehalten würden. Das Gutachten sei entgegen der Ansicht des Beschwerdeführers somit vollständig.</w:t>
      </w:r>
    </w:p>
    <w:p>
      <w:r>
        <w:t>Sodann führt das Verwaltungsgericht aus, dass die Liegenschaft des Beschwerdeführers der Lärmempfindlichkeitsstufe III zugeordnet sei, weshalb der Experte nicht den tieferen Grenzwert der Vollzugshilfe habe anwenden müssen.</w:t>
      </w:r>
    </w:p>
    <w:p>
      <w:r>
        <w:t>Mit der Schalldämmwirkung von Holzkonstruktionen hat sich die Vorinstanz, wie oben gesagt, nicht rechtsgenüglich auseinandergesetzt.</w:t>
      </w:r>
    </w:p>
    <w:p>
      <w:r>
        <w:rPr>
          <w:b/>
        </w:rPr>
        <w:t>E. 3.3</w:t>
      </w:r>
    </w:p>
    <w:p>
      <w:r>
        <w:t>Gemäss Vernehmlassung des BAFU äussert sich das Gutachten nur zur Lärmbelastung bei den Liegenschaften des Beschwerdeführers (Empfangspunkte 1-3). Zu den zum geplanten Jugendtreff näher liegenden Liegenschaften würden keine Aussagen gemacht. Die Lärmbelastung bei Discobetrieb liege insbesondere bei der Parzelle Nr. 495 aufgrund der geringeren Distanz zur Lärmquelle rund 5 dB(A) über derjenigen vom Empfangspunkt 1. Damit könne eine Überschreitung der massgebenden Grenzwerte der Vollzugshilfe nicht ausgeschlossen werden.</w:t>
      </w:r>
    </w:p>
    <w:p>
      <w:r>
        <w:t>Bei der Ermittlung der Lärmbelastung infolge Nutzung des Vorraums gehe die Expertise davon aus, dass die Tür zum Mehrzweckraum geschlossen sei oder dass keine laute Musik abgespielt werde. Die Lärmbelastung werde bei Discobetrieb unterschätzt. Da die Jugendlichen zwischen dem Mehrzweckraum und dem Vorplatz des Jugendtreffs zirkulieren würden und auch der Haupteingang jederzeit benutzt werden könne, sei nicht auszuschliessen, dass es Situationen geben werde, in denen beide Türen offen stehen. Insbesondere nach 22.00 Uhr seien Überschreitungen der massgebenden Grenzwerte nicht zu vermeiden.</w:t>
      </w:r>
    </w:p>
    <w:p>
      <w:r>
        <w:t>Bezüglich der Frage, auf welche Grenzwerte der Vollzugshilfe abzustellen sei, sei das Gutachten nicht zu beanstanden. Aufgrund der Lage und der Zonenzuteilung der betroffenen Liegenschaften des Beschwerdeführers rechtfertige es sich nicht, für die Beurteilung der Lärmbelastung auf die strengeren Grenzwerte für besondere Situationen gemäss Vollzugshilfe (Wohnviertel oder Lage in der Empfindlichkeitsstufe II) abzustellen. Dieser Ansicht schliesst sich der Beschwerdeführer in seiner Eingabe vom 28. Oktober 2009 an.</w:t>
      </w:r>
    </w:p>
    <w:p>
      <w:r>
        <w:t>Zu beachten sei weiter, dass die Schalldämmung einer Leichtbau-Holzkonstruktion für tieffrequente Musikgeräusche im Normalfall gering sei. Dies habe der Experte verkannt. Für die Beurteilung des Tieftonanteils und der Schalldämmwirkung von Aussenwänden sei der Anhang A der SIA-Norm 181 heranzuziehen, welcher betreffend der Schalldämmwirkung im Tieftonbereich dem neusten Stand der Technik entspreche.</w:t>
      </w:r>
    </w:p>
    <w:p>
      <w:r>
        <w:t>Da eine Überschreitung der massgeblichen Grenzwerte nicht ausgeschlossen werden könne, erachtet das BAFU die Nachbesserung des Gutachtens bzw. die Einholung eines Zweitgutachtens für eine abschliessende Beurteilung als notwendig. Im Rahmen der Vorsorge sollten auch emissionsbegrenzende Massnahmen geprüft werden. Dazu würden die Begrenzung der Lautstärke der Stereoanlage mittels einer elektronischen Lautstärkenbeschränkung, der Einsatz eines Equalizers zur Beschränkung der tieffrequenten Töne oder der Bau einer Schleuse beim Haupteingang oder bei der Türe vom Vorplatz zum Mehrzweckraum gehören. Auch weitere Beschränkungen der Betriebszeiten (bspw. kein Discobetrieb nach 22.00 Uhr) sollten geprüft werden.</w:t>
      </w:r>
    </w:p>
    <w:p>
      <w:r>
        <w:rPr>
          <w:b/>
        </w:rPr>
        <w:t>E. 3.4</w:t>
      </w:r>
    </w:p>
    <w:p>
      <w:r>
        <w:t>Das Bundesgericht legt seinem Urteil den Sachverhalt zugrunde, den die Vorinstanz festgestellt hat ( Art. 105 Abs. 1 BGG ). Die Feststellung des Sachverhalts kann nur gerügt oder vom Bundesgericht von Amtes wegen berichtigt oder ergänzt werden, wenn sie offensichtlich unrichtig ist oder auf einer Rechtsverletzung im Sinne von Art. 95 BGG beruht. Eine Sachverhaltsrüge kann zudem nur vorgebracht werden, wenn die Behebung des Mangels für den Ausgang des Verfahrens entscheidend sein kann ( Art. 97 Abs. 1, Art. 105 Abs. 2 BGG ).</w:t>
      </w:r>
    </w:p>
    <w:p>
      <w:r>
        <w:rPr>
          <w:b/>
        </w:rPr>
        <w:t>E. 3.5</w:t>
      </w:r>
    </w:p>
    <w:p>
      <w:r>
        <w:t>Die Mängel der Lärmprognose, auf welche die Vorinstanz abstellt, sind offensichtlich. Zum einen wurde die Lärmbelastung nicht bei allen betroffenen Liegenschaften gemessen, zum andern fehlen Abklärungen zur Schalldämmung der geplanten Holzkonstruktion. Sodann verkennt die Vorinstanz, dass die bei Discobetrieb zu erwartende, vom Mehrzweckraum ausgehende Lärmbelastung mit einer automatischen Türschliessungsanlage (bspw. durch ein mechanisches Gewicht) nicht vermieden werden kann. Es wäre ohne Weiteres möglich, durch Anlehnen oder Blockieren der Türe die Schliessung zu verhindern. Der Beschwerdeführer befürchtet zu Recht, dass insbesondere in den Sommermonaten wegen den hohen Raumtemperaturen mit der Offenhaltung der Türe gerechnet werden müsste.</w:t>
      </w:r>
    </w:p>
    <w:p>
      <w:r>
        <w:t>Nach dem Gesagten hätte die Vorinstanz demnach nicht den Schluss ziehen dürfen, die zu erwartende Lärmbelastung sei mit Bundesrecht vereinbar, sondern hätte in Erfüllung ihrer Ermittlungspflicht (vgl. Art. 36 der Lärmschutz-Verordnung vom 15. Dezember 1986, LSV; SR 814.41) weitere Abklärungen treffen müssen. Die Beschwerde ist in diesem Punkt begründet und dem Antrag auf Einholung eines Obergutachtens stattzugeben.</w:t>
      </w:r>
    </w:p>
    <w:p>
      <w:r>
        <w:rPr>
          <w:b/>
        </w:rPr>
        <w:t>E. 4</w:t>
      </w:r>
    </w:p>
    <w:p>
      <w:r>
        <w:t>Die Beschwerde ist somit wegen Verletzung des rechtlichen Gehörs und wegen offensichtlich unvollständiger Sachverhaltsermittlung gutzuheissen, das angefochtene Urteil aufzuheben und die Sache zur Einholung eines Obergutachtens und zur neuen Beurteilung an die Vorinstanz zurückzuweisen. Dabei hat die Vorinstanz auch weitere emissionsbegrenzende Massnahmen gemäss den in diesem Verfahren geäusserten Empfehlungen des BAFU zu prüfen (vgl. Punkt 3.3 der Vernehmlassung des BAFU vom 27. August 2009). Es werden keine Gerichtskosten erhoben ( Art. 66 Abs. 4 BGG ). Jedoch hat die Politische Gemeinde Ermatingen den Beschwerdeführer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