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190/2008 vom 29. Januar 2009</w:t>
      </w:r>
    </w:p>
    <w:p>
      <w:r>
        <w:t>Bundesgericht, 2009-01-29, DE</w:t>
      </w:r>
    </w:p>
    <w:p>
      <w:r>
        <w:rPr>
          <w:b/>
        </w:rPr>
        <w:t xml:space="preserve">Quelle: </w:t>
      </w:r>
      <w:r>
        <w:t>https://mcp.opencaselaw.ch/entscheid/bger_1C_190_2008</w:t>
      </w:r>
    </w:p>
    <w:p>
      <w:r>
        <w:t>FR: TF 1C 190/2008 du 29 janvier 2009</w:t>
      </w:r>
    </w:p>
    <w:p>
      <w:r>
        <w:t>IT: TF 1C 190/2008 del 29 gennaio 2009</w:t>
      </w:r>
    </w:p>
    <w:p>
      <w:pPr>
        <w:pStyle w:val="Heading2"/>
      </w:pPr>
      <w:r>
        <w:t>Regeste</w:t>
      </w:r>
    </w:p>
    <w:p>
      <w:r>
        <w:t>Nichtigerklärung der erleichterten Einbürgerung | Bürgerrecht und Ausländerrecht</w:t>
      </w:r>
    </w:p>
    <w:p>
      <w:pPr>
        <w:pStyle w:val="Heading2"/>
      </w:pPr>
      <w:r>
        <w:t>Erwägungen</w:t>
      </w:r>
    </w:p>
    <w:p>
      <w:r>
        <w:rPr>
          <w:b/>
        </w:rPr>
        <w:t>E. 1</w:t>
      </w:r>
    </w:p>
    <w:p>
      <w:r>
        <w:t>Das angefochtene Urteil, ein Endentscheid des Bundesverwaltungsgerichts ( Art. 86 Abs. 1 lit. a, Art. 90 BGG ), betrifft eine Nichtigerklärung einer erleichterten Einbürgerung gestützt auf Art. 27 Abs. 1 des Bundesgesetzes vom 29. September 1952 über Erwerb und Verlust des Schweizer Bürgerrechts (Bürgerrechtsgesetz, BüG; SR 141.0), somit eine öffentlich-rechtliche Angelegenheit im Sinn von Art. 82 lit. a BGG . Die Ausnahme der ordentlichen Einbürgerung gemäss Art. 83 lit. b BGG erstreckt sich nicht auf die Nichtigerklärung der Einbürgerung. Alle drei Beschwerdeführer haben sich am Verfahren vor der Vorinstanz beteiligt und sind beschwerdelegitimiert ( Art. 89 Abs. 1 BGG ).</w:t>
      </w:r>
    </w:p>
    <w:p>
      <w:r>
        <w:rPr>
          <w:b/>
        </w:rPr>
        <w:t>E. 2</w:t>
      </w:r>
    </w:p>
    <w:p>
      <w:r>
        <w:t>Gemäss Art. 27 Abs. 1 BüG kann eine Ausländerin nach der Eheschliessung mit einem Schweizer Bürger ein Gesuch um erleichterte Einbürgerung stellen, wenn sie insgesamt fünf Jahre in der Schweiz gewohnt hat, seit einem Jahr hier wohnt und seit drei Jahren in ehelicher Gemeinschaft mit dem Schweizer Bürger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130 II 482 E. 2 S. 484). 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w:t>
      </w:r>
    </w:p>
    <w:p>
      <w:r>
        <w:rPr>
          <w:b/>
        </w:rPr>
        <w:t>E. 3</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Die Betroffene ist bei der Sachverhaltsabklärung mitwirkungspflichtig ( BGE 130 II 482 E. 3.2 S. 486). Die tatsächliche Vermutung betrifft die Beweiswürdigung und bewirkt keine Umkehrung der Beweislast ( BGE 130 II 482 E. 3.2 S. 486). Die Betroffene muss nicht den Beweis des Gegenteils erbringen. Vielmehr genügt der Nachweis von Zweifeln an der Richtigkeit der Indizien und der daraus gezogenen Schlussfolgerung (vgl. dazu allgemein OSCAR VOGEL/KARL SPÜHLER/MYRIAM GEHRI, Grundriss des Zivilprozessrechts, 8. Aufl. 2006, S. 263, Rz. 51; FRITZ GYGI, Bundesverwaltungsrechtspflege, 2. Aufl. 1983, S. 283 f.). Dem Gesagten zufolge liegt die Beweislast dafür, dass eine eheliche Gemeinschaft im Sinn von Art. 27 BüG im massgeblichen Zeitpunkt der Gesuchseinreichung und der Einbürgerung nicht oder nicht mehr besteht, bei der Verwaltung. Es genügt deshalb, dass die Betroffene einen oder mehrere Gründe angibt, die es plausibel erscheinen lassen, dass sie im Zeitpunkt ihrer Erklärung mit dem Schweizer Ehepartner in einer stabilen ehelichen Gemeinschaft lebte und dass sie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(Bundesgerichtsurteile 5A.22/2006 vom 13. Juli 2006 E. 2.3; 5A.18/2006 vom 28. Juni 2006 E. 2.3).</w:t>
      </w:r>
    </w:p>
    <w:p>
      <w:r>
        <w:rPr>
          <w:b/>
        </w:rPr>
        <w:t>E. 4.1</w:t>
      </w:r>
    </w:p>
    <w:p>
      <w:r>
        <w:t>Das Bundesverwaltungsgericht geht von einer Erschleichung des Bürgerrechts durch die Beschwerdeführerin 1 aus. Aufgrund der engen zeitlichen Abfolge der Einbürgerung der Beschwerdeführerin 1 (8. Juli 1999), der Scheidung der mit dem Schweizer eingegangenen Ehe (19. Juni 2000) und der Wiederverheiratung der Beschwerdeführerin 1 mit dem ersten Ehemann (1. August 2001) vermutet die Vorinstanz, dass im Zeitpunkt der gemeinsamen Erklärung über das Bestehen der mit dem Schweizer eingegangenen Ehe (21. Juni 1999) in Wirklichkeit keine stabile eheliche Gemeinschaft im Sinne von Art. 27 BüG bestanden habe. Nach Auffassung der Vorinstanz lässt die eigentümliche Dreiecksbeziehung unter den Betroffenen überdies den Verdacht entstehen, das gesamte Vorgehen sei von Anfang an abgesprochen gewesen, und es habe zwischen der Beschwerdeführerin 1 und dem Schweizer nie eine reelle eheliche Gemeinschaft im Sinn von Art. 27 BüG bestanden. Nach Darstellung der Beschwerdeführerin 1 und ihres Schweizer Ex-Ehemannes sei aus Liebe geheiratet worden. Konflikte des Ehemannes mit den beiden jüngeren Kindern, welche im Mai 1999 in die Schweiz nachgezogen seien, hätten nachträglich zum Scheitern der Ehe geführt. Zum Zeitpunkt der gemeinsamen Erklärung seien die Eheleute von einer intakten Ehe ausgegangen. Die Beschwerdeführerin 1 habe die Scheidung auf Drängen des Ehemannes eingereicht. Zur Wiederverheiratung mit dem ersten Ehemann sei es gekommen, weil sich die Beschwerdeführerin 1 als alleinerziehende Mutter von vier Kindern überfordert gefühlt habe. Das Bundesverwaltungsgericht fährt fort, allein schon der zeitliche Ablauf der Ereignisse spreche gegen die Darstellung der Beschwerdeführerin 1. Zur faktischen Trennung sei es bereits im Juli 1999, somit im Monat der Einbürgerung gekommen. Drei Monate nach der Einbürgerung im Oktober 1999 sei den Ehegatten im Rahmen eines Eheschutzverfahrens das Getrenntleben gerichtlich bewilligt worden. In Anbetracht des Umstandes, dass das Erkennen des Scheiterns der Ehe, der Trennungsentschluss und dessen Umsetzung einige Zeit brauchen, könne nicht angenommen werden, die Ehe sei zum Zeitpunkt der Unterzeichnung der Erklärung am 21. Juni 1999 resp. der Verleihung der erleichterten Einbürgerung am 8. Juli 1999 noch intakt gewesen. Die einseitige Zuweisung der Verantwortung an den schweizerischen Ehemann lasse sich schwer mit dem Umstand vereinbaren, dass es die Beschwerdeführerin 1 gewesen sei, die auf Scheidung geklagt habe. Der Einwand der Beschwerdeführerin 1, ihr Ex-Ehemann habe die beiden jüngeren Kinder nicht ertragen, lässt die Vorinstanz nicht gelten. Dieser habe gewusst, dass er eine Mutter von vier Kindern heirate, und er habe bereits einige einschlägige Erfahrungen mit den beiden älteren Kindern sammeln können, die bereits seit 1996 in der ehelichen Wohnung gelebt hätten. Da die Beschwerdeführerin 1 angebe, von einem im Jahr 1997 aus Rücksicht auf ihren damaligen Ehemann durchgeführten Schwangerschaftsabbruch traumatisiert zu sein, müsse angenommen werden, dass allfällige eheliche Probleme wegen der Kinder ohnehin bereits geraume Zeit vor der Einbürgerung bestanden hätten.</w:t>
      </w:r>
    </w:p>
    <w:p>
      <w:r>
        <w:rPr>
          <w:b/>
        </w:rPr>
        <w:t>E. 4.2</w:t>
      </w:r>
    </w:p>
    <w:p>
      <w:r>
        <w:t>Die Beschwerdeführerin 1 beteuert erneut, ihren Schweizer Ex-Ehemann aus Liebe geheiratet zu haben. Bis zum Nachzug der beiden jüngeren Kinder im Mai 1999 habe es keine ehelichen Probleme gegeben. Dass diese in die Schweiz verbracht werden sollten, sei darauf zurückzuführen, dass die Grossmutter, welche sich bis zu diesem Zeitpunkt um sie gekümmert habe, schwer erkrankt sei. Dieser Umstand unterschlage die Vorinstanz. Es sei nicht aussergewöhnlich, dass eine Ehe scheitere, weil sich einer der Ehepartner mit vier Kindern überfordert fühle.</w:t>
      </w:r>
    </w:p>
    <w:p>
      <w:r>
        <w:rPr>
          <w:b/>
        </w:rPr>
        <w:t>E. 4.3</w:t>
      </w:r>
    </w:p>
    <w:p>
      <w:r>
        <w:t>Aufgrund der dargestellten Eckdaten ist der Standpunkt des Bundesverwaltungsgerichts, im Zeitpunkt der Einbürgerung habe keine stabile eheliche Gemeinschaft im Sinn von Art. 27 BüG mehr bestanden, zu schützen. Allein schon die zeitliche Abfolge der Ereignisse (Einbürgerungsentscheid und faktische Trennung im Juli 1999; gerichtliche Bewilligung der Trennung im Oktober 1999; Scheidung im Juni 2000) lässt die Vermutung aufrecht bestehen, dass bei der Einbürgerung eine intakte Ehe nicht bestand und die Beschwerdeführerin gegenüber den Behörden bewusst wahrheitswidrige Angaben über den Zustand der Ehe machte. Es ist zwar nicht von der Hand zu weisen, dass der Nachzug der beiden kleinen Kinder im Mai 1999 die eheliche Gemeinschaft allenfalls zu belasten vermochte. Dennoch ist nicht nachvollziehbar, dass bereits zwei Monate später und gleichzeitig mit der Einbürgerung im Juli 1999 das Getrenntleben aufgenommen und nach drei Monaten die gerichtliche Bewilligung zum Getrenntleben erwirkt wurde. Nach der allgemeinen Lebenserfahrung ist nicht anzunehmen, dass im Zeitpunkt der Einbürgerung die Ehe intakt war. Hinzu kommt der aus den Akten ersichtliche Umstand, dass der erste und jetzige Ehemann der Beschwerdeführerin 1 im April 1999 ein Visum zwecks Besuch der Beschwerdeführerin 1 und der gemeinsamen Kinder erlangte und am 19. Juni 1999 in die Schweiz einreiste. Die Beschwerdeführerin 1 gab zu dessen Gunsten gegenüber dem Schweizer Generalkonsulat in Istanbul eine Garantieerklärung ab. Anschliessend stellte der türkische Ehemann ein Asylgesuch. Dies spricht gegen die Darstellung der Beschwerdeführerin 1, dass sie sich erst nach der Scheidung vom Schweizer Ehemann ihrem ersten und jetzigen Ehemann wieder angenähert habe. Aus den dargelegten Gründen ist der Standpunkt der Vorinstanz, es sei erwiesen, dass die Beschwerdeführerin 1 im Verfahren der erleichterten Einbürgerung bewusst wahrheitswidrig bestätigte, in einer stabilen ehelichen Gemeinschaft mit dem Schweizer Ehemann zu leben, nicht zu beanstanden. Das Bundesverwaltungsgericht hat demnach kein Bundesrecht verletzt, wenn es die Nichtigerklärung der Einbürgerung der Beschwerdeführerin 1 bestätigte. Die Beschwerde ist bezüglich der Beschwerdeführerin 1 abzuweisen.</w:t>
      </w:r>
    </w:p>
    <w:p>
      <w:r>
        <w:rPr>
          <w:b/>
        </w:rPr>
        <w:t>E. 5.1</w:t>
      </w:r>
    </w:p>
    <w:p>
      <w:r>
        <w:t>Bezüglich der Beschwerdeführerin 2 und des Beschwerdeführers 3 führte die Vorinstanz aus, Art. 41 Abs. 3 BüG sehe die Erstreckung der Nichtigkeit einer Einbürgerung auf die abgeleiteten Bürgerrechte der Familienmitglieder vor. Entgegen dem Standpunkt der Beschwerdeführer könne in diesem Zusammenhang von Sippenhaft nicht die Rede sein. Der Gesetzgeber habe das Anknüpfen an ein unredliches Verhalten der reflexhaft betroffenen Familienmitglieder von vornherein ausgeschlossen. In den allermeisten Fällen hätten reflexhaft betroffene Familienmitglieder an der Täuschungshandlung zur Erlangung der Einbürgerung nicht mitgewirkt. Das Anknüpfen an ein unredliches Verhalten der betroffenen Familienmitglieder würde Art. 41 Abs. 3 BüG in sein Gegenteil verkehren, wonach die Erstreckung der Nichtigkeit einer Einbürgerung auf die abgeleiteten Bürgerrechte den Regelfall darstelle. Andere Gründe, die es rechtfertigen würden, die Beschwerdeführerin 2 und den Beschwerdeführer 3 von der Nichtigerklärung ihrer Bürgerrechte auszunehmen, seien nicht ersichtlich. Der von der Beschwerdeführerin 2 beklagte Verlust eines Teils ihrer in der Schweiz erlangten Identität sei Folge jeder Nichtigerklärung des Bürgerrechts. Die geltend gemachte gute Integration werde ihr im Rahmen eines Verfahrens auf ordentliche Einbürgerung von Nutzen sein. Die Beibehaltung des Schweizer Bürgerrechts, das die Beschwerdeführer aufgrund des unredlichen Verhaltens ihrer Mutter im privilegierten Verfahren erhalten hätten, werde mit der guten Integration nicht gerechtfertigt. Es sei deshalb nicht zu beanstanden, dass das BFM die Beschwerdeführerin 2 und den Beschwerdeführer 3 von der Nichtigerklärung der erleichterten Einbürgerung nicht ausnahm.</w:t>
      </w:r>
    </w:p>
    <w:p>
      <w:r>
        <w:rPr>
          <w:b/>
        </w:rPr>
        <w:t>E. 5.2</w:t>
      </w:r>
    </w:p>
    <w:p>
      <w:r>
        <w:t>Die Beschwerdeführer wenden vor Bundesgericht ein, dass sie seit 1996 in der Schweiz wohnen und sich als Schweizer fühlen würden und gut integriert seien. Die Beschwerdeführerin 2 macht geltend, sie habe ein besonders enges Verhältnis zu ihrem Schweizer Stiefvater, arbeite als stellvertretende Teamleiterin in einer Versicherungsgesellschaft, wolle nächstens eine Weiterbildung antreten und habe bisher bei allen Wahlen und Abstimmungen ihr Stimmbürgerrecht wahrgenommen. Sie sei deshalb eine "vorbildlich Eingebürgerte". Der Beschwerdeführer 3 argumentiert, er habe jüngst die Rekrutenschule absolviert und arbeite seither in einem Betrieb in Winterthur-Seen. Auch er sei vollumfänglich integriert.</w:t>
      </w:r>
    </w:p>
    <w:p>
      <w:r>
        <w:rPr>
          <w:b/>
        </w:rPr>
        <w:t>E. 5.3</w:t>
      </w:r>
    </w:p>
    <w:p>
      <w:r>
        <w:t>Gemäss Art. 41 Abs. 3 BüG erstreckt sich die Nichtigkeit auf alle Familienmitglieder, deren Schweizer Bürgerrecht auf der nichtigerklärten Einbürgerung beruht, sofern nicht ausdrücklich anders verfügt wird. Der Sinn dieser Vorschrift liegt zweifelsohne darin, Einbürgerungen, die auf einer Täuschung der Behörden beruhen, den Bestand zu verweigern. Indessen ist aus der Formulierung dieser Vorschrift zu schliessen, dass die Nichtigerklärung der Einbürgerung nach dem Willen des Gesetzgebers nicht zwingend alle eingebürgerten Familienmitglieder erfassen muss. Die Gesetzesmaterialien weisen ebenfalls in diese Richtung (vgl. die Botschaft des Bundesrates an die Bundesversammlung vom 9. August 1951 zum Entwurf zu einem Bundesgesetz über Erwerb und Verlust des Schweizerbürgerrechts, BBl 1951 II 669 ff., 703). Art. 41 Abs. 3 BüG nennt allerdings keine Kriterien, nach denen zu beurteilen wäre, in welchen Fällen von der Nichtigkeit der Einbürgerung der Familienmitglieder abzusehen ist, sondern überlässt diese Frage der Praxis. Der Vorinstanz ist insoweit zuzustimmen, als allein das Fehlen unredlichen Verhaltens der Familienmitglieder, die in der Regel am täuschenden Verhalten ihrer Eltern nicht mitgewirkt haben, nicht ausschlaggebend sein kann, da Art. 41 Abs. 3 BüG sonst in sein Gegenteil verkehrt würde. Im Interesse der Rechtssicherheit und Rechtsgleichheit werden die Behörden Grundsätze entwickeln müssen, anhand denen zu beurteilen ist, in welchen Fällen die Erstreckung der Nichtigkeit der erschlichenen Einbürgerung auf die Familienangehörigen als angemessen resp. unangemessen zu betrachten ist. Dabei haben sich die Behörden von der Verfassung sowie von Sinn und Zweck des Bürgerrechtsgesetzes leiten zu lassen. Insbesondere haben sie die Vorschriften über die Voraussetzungen zur ordentlichen Einbürgerung (Art. 14 f. BüG) im Auge zu behalten. Liegen etwa die Voraussetzungen zur ordentlichen Einbürgerung der betroffenen, selber bereits mündigen Familienmitglieder offensichtlich vor, so wäre es mit Sinn und Zweck des Bürgerrechtsgesetzes kaum vereinbar, die Nichtigkeit der erschlichenen Einbürgerung auf die Familienmitglieder auszudehnen.</w:t>
      </w:r>
    </w:p>
    <w:p>
      <w:r>
        <w:rPr>
          <w:b/>
        </w:rPr>
        <w:t>E. 5.4</w:t>
      </w:r>
    </w:p>
    <w:p>
      <w:r>
        <w:t>In Bezug auf die Beschwerdeführerin 2 und den Beschwerdeführer 3 ist die Erstreckung der Nichtigkeit der Einbürgerung der Beschwerdeführerin 1 nicht zwingend. Art. 41 Abs. 3 BüG muss im Lichte der vorstehenden Erwägung angewendet werden. Sollten die Ausführungen in der Beschwerdeschrift bezüglich der Integration der mittlerweile 22- und 25-jährigen und damit volljährigen Beschwerdeführer (klagloses Verhalten, Absolvierung der militärischen Grundausbildung, berufliche Ausbildung und Tätigkeit, Ausübung des Stimmrechts) zutreffen, so erschiene die Erstreckung der Nichtigkeit der Einbürgerung der Beschwerdeführerin 1 ihnen gegenüber als unverhältnismässig und mit Sinn und Zweck des Bürgerrechtsgesetzes nicht vereinbar. Das Bundesgericht kann diese Frage im vorliegenden Verfahren nicht abschliessend beurteilen, da es an einer hinreichenden Sachverhaltsabklärung durch die Vorinstanz fehlt. Jedenfalls aber genügen die in Erwägung 9 des angefochtenen Urteils enthaltenen Ausführungen und die vom Bundesamt für Migration in seiner Stellungnahme angegebenen Gründe nicht, um die Nichtigkeit der Einbürgerung der Beschwerdeführerin 1 auch auf die Beschwerdeführerin 2 und den Beschwerdeführer 3 auszudehnen. Die Beschwerde ist bezüglich der Beschwerdeführerin 2 und des Beschwerdeführers 3 gutzuheissen und die Sache zur Ergänzung des Sachverhalts und zu neuem Entscheid zurückzuweisen, wobei die Sache in Anwendung von Art. 107 Abs. 2 BGG an das Bundesamt für Migration als erstentscheidende Behörde zurückgeht. Dieses hat sich mit der Auslegung und Anwendung von Art. 41 Abs 3 BüG im Sinne der bundesgerichtlichen Erwägungen zu befassen.</w:t>
      </w:r>
    </w:p>
    <w:p>
      <w:r>
        <w:rPr>
          <w:b/>
        </w:rPr>
        <w:t>E. 6</w:t>
      </w:r>
    </w:p>
    <w:p>
      <w:r>
        <w:t>Nach dem Gesagten ist die Beschwerde bezüglich der Beschwerdeführerin 2 und des Beschwerdeführers 3 teilweise begründet und das angefochtene Urteil im Sinne der Erwägungen aufzuheben und an das Bundesamt für Migration zur Ergänzung des Sachverhalts und zu neuem Entscheid zurückzuweisen. Im Übrigen ist die Beschwerde abzuweisen. Der Beschwerdeführerin 1 wird eine reduzierte Gerichtsgebühr auferlegt ( Art. 66 Abs. 1 BGG ). Die Schweizerische Eidgenossenschaft hat den teilweise obsiegenden Beschwerdeführern 2 und 3 für das bundesgerichtliche Verfahren eine reduzierte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