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18/2018 vom 20. November 2018</w:t>
      </w:r>
    </w:p>
    <w:p>
      <w:r>
        <w:t>Bundesgericht, 2018-11-20, FR</w:t>
      </w:r>
    </w:p>
    <w:p>
      <w:r>
        <w:rPr>
          <w:b/>
        </w:rPr>
        <w:t xml:space="preserve">Quelle: </w:t>
      </w:r>
      <w:r>
        <w:t>https://mcp.opencaselaw.ch/entscheid/bger_1C_18_2018</w:t>
      </w:r>
    </w:p>
    <w:p>
      <w:r>
        <w:t>FR: TF 1C 18/2018 du 20 novembre 2018</w:t>
      </w:r>
    </w:p>
    <w:p>
      <w:r>
        <w:t>IT: TF 1C 18/2018 del 20 novembre 2018</w:t>
      </w:r>
    </w:p>
    <w:p>
      <w:pPr>
        <w:pStyle w:val="Heading2"/>
      </w:pPr>
      <w:r>
        <w:t>Regeste</w:t>
      </w:r>
    </w:p>
    <w:p>
      <w:r>
        <w:t>Autorisations de construire, de démolir et d'abattage d'arbres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participé à la procédure devant l'instance précédente. En tant que propriétaires de parcelles voisines du projet, ils sont particulièrement touchés par l'arrêt attaqué confirmant l'autorisation de construire un projet qu'ils tiennent pour non conforme aux règles en matière de distance à la forêt et d'indice d'utilisation du sol.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 sur le fond. Conformément à l' art. 99 al. 1 LTF , aucun fait nouveau ou preuve nouvelle ne peut être présenté à moins de résulter de la décision de l'autorité précédente. Dès lors, les pièces nouvelles produites par les recourants sont irrecevables et il n'en sera pas tenu compte.</w:t>
      </w:r>
    </w:p>
    <w:p>
      <w:r>
        <w:rPr>
          <w:b/>
        </w:rPr>
        <w:t>E. 2</w:t>
      </w:r>
    </w:p>
    <w:p>
      <w:r>
        <w:t>Invoquant une constatation manifestement inexacte des faits pertinents et une application arbitraire du droit cantonal, les recourants font grief à l'instance précédente d'avoir considéré que les conditions pour une dérogation à la distance à la lisière de la forêt prévue par l' art. 11 al. 2 let . c LForêts étaient remplies.</w:t>
      </w:r>
    </w:p>
    <w:p>
      <w:r>
        <w:rPr>
          <w:b/>
        </w:rPr>
        <w:t>E. 2.1</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p. 368; 141 I 36 consid. 1.3 p. 41; 135 III 232 consid. 1.2 p. 234). A cela s'ajoute que, 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(cf. ATF 143 I 321 consid. 6.1 p. 324; 134 III 379 consid. 1.2 p. 382 s.).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 142 V 513 consid. 4.2 p. 516).</w:t>
      </w:r>
    </w:p>
    <w:p>
      <w:r>
        <w:rPr>
          <w:b/>
        </w:rPr>
        <w:t>E. 2.2</w:t>
      </w:r>
    </w:p>
    <w:p>
      <w:r>
        <w:t>En vertu de l'art. 17 de la loi fédérale sur les forêts du 4 octobre 1991 (LFo; RS 921.0),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Si des raisons importantes le justifient, les autorités compétentes peuvent autoriser une distance plus courte en imposant des conditions et des charges (al. 3). Le but de l' art. 17 LFo est de protéger la forêt des atteintes naturelles ou humaines. La distance par rapport à la forêt doit également permettre d'y avoir accès et de la gérer de façon appropriée, de la protéger contre les incendies et de préserver les lisières qui ont une grande valeur écologique. La détermination de la distance à la forêt, tenant compte de tous les critères précités, dépend étroitement des circonstances concrètes du cas particulier (cf. arrêts 1C_621/2012 du 14 janvier 2014 consid. 8.1, in DEP 2014 251, p. 262; 1C_119/2008 du 21 novembre 2008 consid. 2.4, in DEP 2009 138, p. 146 s.). Enfin, le principe selon lequel la forêt ne doit subir aucune atteinte du fait des constructions établies à proximité est une règle de droit fédéral directement applicable. On doit donc admettre que, lorsque sont invoquées des atteintes à la forêt consécutives au caractère inapproprié de la distance entre celle-ci et les bâtiments projetés, c'est le droit fédéral déduit de l' art. 17 LFo qui est décisif (cf. arrêts 1C_64/2017 du 31 août 2017 consid. 5.1; 1C_621/2012 précité consid. 2.2.2, in DEP 2014 251, p. 255) et le droit cantonal doit être interprété conformément au droit supérieur. Dans le canton de Genève, l'art. 11 al. 1 LForêts - dans sa teneur jusqu'au 1 er janvier 2017 - prévoit que l'implantation de constructions à moins de 30 m de la lisière de la forêt est interdite. Selon l' art. 11 al. 2 let . c LForêts, le DALE peut, après consultation du département compétent, de la Commune, de la CMNS et de la CCDB, accorder des dérogations pour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Selon l'art. 11 al. 3 LForêt, l'octroi de dérogations est subordonné aux intérêts de la conservation de la forêt et de sa gestion, au bien-être des habitants, ainsi qu'à la sécurité de ces derniers et des installations; ces dérogations peuvent être assorties de conditions relatives à l'entretien de la lisière et de compensations, au sens des art. 8 et 9 LForêts.</w:t>
      </w:r>
    </w:p>
    <w:p>
      <w:r>
        <w:rPr>
          <w:b/>
        </w:rPr>
        <w:t>E. 2.3</w:t>
      </w:r>
    </w:p>
    <w:p>
      <w:r>
        <w:t>La Cour de justice a considéré que l'octroi d'une dérogation à la distance minimale de 30 m par rapport à la lisière de la forêt, sur la base de l'alignement des constructions existantes - lequel avait été déterminé par la DGAN -, n'était pas critiquable. A l'instar des instances précédentes, elle a considéré, en se référant aux normes du droit des constructions, que le chemin de Malvand constituait une construction. Ce chemin d'accès ainsi que la maison actuelle vouée à la démolition pouvaient dès lors être pris en compte pour tracer l'alignement existant au sens de l' art. 11 al. 2 let . c LForêts. Les recourants critiquent cette appréciation, en se prévalant essentiellement du fait que ce chemin d'accès constituerait une construction de peu d'importance ou d'importance secondaire au sens de l'art. 1A du règlement d'application du 27 février 1978 de la loi sur les constructions et les installations diverses (RCI; RS/GE L 5 05.01) et qu'il ne pourrait donc pas être considéré comme une construction au sens de l' art. 11 al. 2 let . c LForêts. Quoi qu'en pensent les recourants, il n'est pas insoutenable de considérer que le chemin d'accès litigieux constitue une construction existante susceptible de fonder un alignement au sens de l' art. 11 al. 2 let . c LForêts. Ce chemin aménagé - qui dessert les villas situées sur les parcelles n os 1553, 1590, 1591 et 1592 - n'apparaît pas négligeable, contrairement à ce que semblent penser les recourants. L'instance précédente pouvait dès lors sans arbitraire considérer que le chemin d'accès existant, tout comme la maison actuelle vouée à la démolition, pouvaient être pris en compte pour tracer l'alignement existant au sens de la disposition précitée de droit cantonal. Il ressort par ailleurs des plans que les logements projetés ne sont pas implantés dans un secteur dépourvu de toute construction, mais situé dans une aire déjà largement bâtie. Enfin, dans une critique qui n'a pas été soulevée devant l'instance précédente, les recourants affirment, en se référant à l' art. 1 LFo que l'implantation de ce projet aurait un effet dévastateur sur la faune, en particulier les oiseaux. Ce faisant, les recourants se contentent de substituer de manière purement appellatoire leur propre appréciation à celle des instances spécialisées, en particulier la CMNS et la CCDB qui ont considéré que la construction projetée ne portait pas atteinte à la valeur biologique de la forêt. La DGAN relevait par ailleurs que la construction nouvelle était plus éloignée de la lisière de la forêt que la construction actuelle, améliorant ainsi la valeur biologique de cette lisière. De plus, la création d'un ourlet buissonnant et une prairie extensive avaient pour but de préserver la forêt.</w:t>
      </w:r>
    </w:p>
    <w:p>
      <w:r>
        <w:rPr>
          <w:b/>
        </w:rPr>
        <w:t>E. 2.4</w:t>
      </w:r>
    </w:p>
    <w:p>
      <w:r>
        <w:t>En définitive, la Cour de justice n'a pas fait preuve d'arbitraire dans l'application de l' art. 11 al. 2 let . c LForêts et n'a pas non plus violé le droit fédéral en confirmant d'octroi d'une dérogation à la distance à la forêt.</w:t>
      </w:r>
    </w:p>
    <w:p>
      <w:r>
        <w:rPr>
          <w:b/>
        </w:rPr>
        <w:t>E. 3</w:t>
      </w:r>
    </w:p>
    <w:p>
      <w:r>
        <w:t>Dans un grief succinct intitulé "rapport des surfaces (des constructions) ", les recourants affirment que le rapport de surfaces serait de 44.15 %, soit supérieur à la limite autorisée par le droit cantonal et fixée à 44 %. Tel qu'il est formulé, le grief apparaît irrecevable à plusieurs titres. En effet, les recourants n'invoquent pas expressément une application arbitraire du droit cantonal en matière d'indice d'utilisation du sol et ils n'exposent pas non plus la teneur de la disposition de droit cantonal qui aurait été violée ( art. 106 al. 2 LTF ; cf. consid. 2.1 ci-dessus). De plus, les recourants n'ont pas soutenu devant la Cour de justice que la surface brute de plancher de la construction litigieuse excédait 44 % de la surface du terrain constructible; au contraire, ils ont affirmé dans leur recours cantonal que "la construction litigieuse représente un coefficient d'utilisation du sol de 0.44, qui nécessite en outre une dérogation à l'art. 59 LCI (...) ". Or des griefs juridiques nouveaux devant le Tribunal fédéral ne sont recevables que lorsqu'il s'agit de droit fédéral ( ATF 142 I 155 consid. 4.4.3 p. 157).</w:t>
      </w:r>
    </w:p>
    <w:p>
      <w:r>
        <w:rPr>
          <w:b/>
        </w:rPr>
        <w:t>E. 4</w:t>
      </w:r>
    </w:p>
    <w:p>
      <w:r>
        <w:t>Il s'ensuit que le recours est rejeté, dans la mesure de sa recevabilité. Les recourants, qui succombent, supportent solidairement les frais de la procédure ( art. 66 al. 1 LTF ). L'intimée, assistée par un mandataire professionnel, a droit à une indemnité de dépens à la charge solidaire des recourants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