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1C_189/2010 vom 14. April 2010</w:t>
      </w:r>
    </w:p>
    <w:p>
      <w:r>
        <w:t>Bundesgericht, 2010-04-14, FR</w:t>
      </w:r>
    </w:p>
    <w:p>
      <w:r>
        <w:rPr>
          <w:b/>
        </w:rPr>
        <w:t xml:space="preserve">Quelle: </w:t>
      </w:r>
      <w:r>
        <w:t>https://mcp.opencaselaw.ch/entscheid/bger_1C_189_2010</w:t>
      </w:r>
    </w:p>
    <w:p>
      <w:r>
        <w:t>FR: TF 1C_189/2010 du 14 avril 2010</w:t>
      </w:r>
    </w:p>
    <w:p>
      <w:r>
        <w:t>IT: TF 1C_189/2010 del 14 aprile 2010</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conditions sont réunies.</w:t>
      </w:r>
    </w:p>
    <w:p>
      <w:r>
        <w:rPr>
          <w:b/>
        </w:rPr>
        <w:t>E. 1.2</w:t>
      </w:r>
    </w:p>
    <w:p>
      <w:r>
        <w:t>En l'occurrence, la décision de clôture porte bien sur la transmission de documents concernant le domaine secret. Toutefois, en dépit des explications de la recourante, le cas ne revêt aucune importance particulière au regard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rPr>
          <w:b/>
        </w:rPr>
        <w:t>E. 1.3</w:t>
      </w:r>
    </w:p>
    <w:p>
      <w:r>
        <w:t>La recourante estime que l'entraide devrait être refusée car la demande constituerait une "fishing expedition"; plus la demande serait imprécise, plus l'autorité requérante obtiendrait alors d'informations. Ces irrégularités prétendues sont limitées à la procédure d'entraide. Elles ne sauraient constituer une violation des principes fondamentaux ou d'autres vices graves affectant la procédure pénale étrangère, au sens de l' art. 84 al. 2 LTF .</w:t>
      </w:r>
    </w:p>
    <w:p>
      <w:r>
        <w:rPr>
          <w:b/>
        </w:rPr>
        <w:t>E. 1.4</w:t>
      </w:r>
    </w:p>
    <w:p>
      <w:r>
        <w:t>La recourante soutient ensuite que l'instruction pénale serait close, et que la question de savoir jusqu'à quel stade de la procédure pénale l'autorité requérante pourrait exiger l'exécution de sa demande, serait une question de principe. Il n'en est rien: la jurisprudence constante retient que, tant qu'un jugement définitif n'a pas été rendu ou tant que l'autorité requérante n'a pas formellement retiré sa demande, l'entraide doit être exécutée indépendamment de l'état d'avancement de la procédure pénale étrangère (arrêt 1A.282/2005 du 30 avril 2007, publié in RtiD 2007 II p. 105; ATF 129 II 544 consid. 4 - non publié).</w:t>
      </w:r>
    </w:p>
    <w:p>
      <w:r>
        <w:t>Pour le surplus, la recourante invoque le principe de la proportionnalité (utilité des pièces transmises, limitation dans le temps de la période pénale, intérêt de l'autorité étrangère à la remise des documents), sans toutefois prétendre que la Cour des plaintes se serait écartée de la jurisprudence rendue à ce sujet.</w:t>
      </w:r>
    </w:p>
    <w:p>
      <w:r>
        <w:rPr>
          <w:b/>
        </w:rPr>
        <w:t>E. 2</w:t>
      </w:r>
    </w:p>
    <w:p>
      <w:r>
        <w:t>Faute de concerner un cas particulièrement important ou de soulever une question juridique de principe, le recours est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