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188/2016 vom 20. Oktober 2016</w:t>
      </w:r>
    </w:p>
    <w:p>
      <w:r>
        <w:t>Bundesgericht, 2016-10-20, FR</w:t>
      </w:r>
    </w:p>
    <w:p>
      <w:r>
        <w:rPr>
          <w:b/>
        </w:rPr>
        <w:t xml:space="preserve">Quelle: </w:t>
      </w:r>
      <w:r>
        <w:t>https://mcp.opencaselaw.ch/entscheid/bger_1C_188_2016</w:t>
      </w:r>
    </w:p>
    <w:p>
      <w:r>
        <w:t>FR: TF 1C 188/2016 du 20 octobre 2016</w:t>
      </w:r>
    </w:p>
    <w:p>
      <w:r>
        <w:t>IT: TF 1C 188/2016 del 20 ottobre 2016</w:t>
      </w:r>
    </w:p>
    <w:p>
      <w:pPr>
        <w:pStyle w:val="Heading2"/>
      </w:pPr>
      <w:r>
        <w:t>Regeste</w:t>
      </w:r>
    </w:p>
    <w:p>
      <w:r>
        <w:t>remise en état des lieux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aucune des exceptions prévues à l' art. 83 LTF n'étant réalisée. La recourante a pris part à la procédure de recours devant le Tribunal cantonal. En tant que propriétaire du mazot litigieux et destinataire de l'ordre de remise en état, elle est particulièrement touchée par l'arrêt attaqué et peut ainsi se prévaloir d'un intérêt digne de protection à son annulation. Elle a donc qualité pour recourir au sens de l' art. 89 al. 1 LTF .</w:t>
      </w:r>
    </w:p>
    <w:p>
      <w:r>
        <w:rPr>
          <w:b/>
        </w:rPr>
        <w:t>E. 2</w:t>
      </w:r>
    </w:p>
    <w:p>
      <w:r>
        <w:t>Dans leurs observations respectives des 17 mai et 13 septembre 2016, les parties s'étendent longuement sur la façon et la fréquence avec lesquelles la recourante procède à la fauche du pré situé sur sa parcelle: alors que la recourante prétend se charger essentiellement seule de cette tâche, l'intimée affirme le contraire, soutenant que celle-ci serait exclusivement assurée par un tiers agriculteur. Ces allégations sont irrecevables dans la mesure où elles s'écartent des constatations cantonales sans que les parties ne se plaignent pour autant d'arbitraire dans l'établissement des faits (cf. art. 97 al. 1 LTF et 106 al. 2 LTF); le Tribunal fédéral s'en tiendra à l'état de fait cantonal ( art. 105 al. 1 LTF ).</w:t>
      </w:r>
    </w:p>
    <w:p>
      <w:r>
        <w:rPr>
          <w:b/>
        </w:rPr>
        <w:t>E. 3</w:t>
      </w:r>
    </w:p>
    <w:p>
      <w:r>
        <w:t>Dans un premier grief, la recourante soutient que les conditions d'une autorisation ordinaire au sens des art. 16a et 22 LAT seraient en l'espèce réalisées. Elle estime en particulier que le fauchage du pré sur sa parcelle constituerait une activité agricole au sens de l'art. 3 de la loi fédérale sur l'agriculteur du 29 avril 1998 (LAgr; RS 910.1); le mazot litigieux répondrait, selon elle, aux besoins de cette activité au sens de l'art. 34 de l'ordonnance sur l'aménagement du territoire du 28 juin 2000 (OAT; RS 700.1).</w:t>
      </w:r>
    </w:p>
    <w:p>
      <w:r>
        <w:rPr>
          <w:b/>
        </w:rPr>
        <w:t>E. 3.1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 ATF 134 II 244 consid. 2.3 p. 246).</w:t>
      </w:r>
    </w:p>
    <w:p>
      <w:r>
        <w:rPr>
          <w:b/>
        </w:rPr>
        <w:t>E. 3.2</w:t>
      </w:r>
    </w:p>
    <w:p>
      <w:r>
        <w:t>Se référant notamment aux préavis négatifs du SCA et du SDT, la cour cantonale a estimé que la construction du mazot était contraire à l'affectation de la zone, la recourante n'exerçant pas d'activité agricole sur sa parcelle (cf. art. 16a al. 1 LAT ). A cet égard, le Tribunal cantonal a considéré qu'il était indifférent - contrairement à ce que soutenait la recourante - de savoir si le fauchage du pré devait être assimilé à une activité agricole au sens de l' art. 3 LAgr ; il a précisé qu'au regard de la jurisprudence (citant l'arrêt 1A.256/2005 du 10 mars 2006 consid. 2.2) la notion d'exploitation agricole au sens de la LAT (cf. art. 16a LAT et 34 OAT) répondait à des critères différents - non réalisés en l'espèce - de ceux découlant du champ d'application de la LAgr. La cour cantonale s'est enfin fondée sur le fait que le fauchage annuel de la parcelle était confié à un agriculteur professionnel pour nier l'existence d'une exploitation agricole. Dans ce contexte, le Tribunal cantonal a jugé que le mazot ne pouvait bénéficier d'une autorisation ordinaire au sens des art. 16a et 22 LAT . La recourante ne développe aucune argumentation en lien avec ces motifs, en particulier, s'agissant de la distinction entre la notion d'exploitation agricole, au sens de l'aménagement du territoire, et celle d'agriculture, selon la LAgr, distinction sur laquelle se fonde pourtant l'essentiel du refus d'une autorisation ordinaire. La recourante se contente, à l'appui de son grief, de reprendre mot pour mot l'argumentation développée sans succès devant le Tribunal cantonal. Une telle manière de procéder n'est pas admissible au regard des exigences de l' art. 42 al. 2 LTF (cf. ATF 134 II 244 consid. 2.3 p. 246). Dans ces conditions, il convient, en ce qui concerne l'application des art. 16a et 22 LAT , de renvoyer aux considérants pertinents de l'arrêt attaqué ( art. 109 al. 3 LTF ).</w:t>
      </w:r>
    </w:p>
    <w:p>
      <w:r>
        <w:rPr>
          <w:b/>
        </w:rPr>
        <w:t>E. 4</w:t>
      </w:r>
    </w:p>
    <w:p>
      <w:r>
        <w:t>Examinant également la situation à la lumière du régime dérogatoire prévu par l' art. 24 LAT , le Tribunal cantonal a exclu que le mazot litigieux puisse en bénéficier. La recourante conteste cette appréciation.</w:t>
      </w:r>
    </w:p>
    <w:p>
      <w:r>
        <w:rPr>
          <w:b/>
        </w:rPr>
        <w:t>E. 4.1</w:t>
      </w:r>
    </w:p>
    <w:p>
      <w:r>
        <w:t>En vertu de l' art. 24 LAT ,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par sa destination au sens de l' 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p. 218; 129 II 63 consid. 3.1. p. 68; 123 II 256 consid. 5a p. 261). L'application de la condition de l' art. 24 let. a LAT doit être stricte, dès lors que cette dernière contribue à l'objectif de séparation du bâti et du non-bâti (cf. ATF 124 II 252 consid. 4a p. 256; 117 Ib 270 consid. 4a p. 281, 379 consid. 3a p. 383; arrêt 1C_877/2013 du 31 juillet 2014 consid. 3.1.1; voir également RUDOLF MUGGLI, Commentaire LAT, 2010, n. 3 ad art. 24 LAT ).</w:t>
      </w:r>
    </w:p>
    <w:p>
      <w:r>
        <w:rPr>
          <w:b/>
        </w:rPr>
        <w:t>E. 4.2</w:t>
      </w:r>
    </w:p>
    <w:p>
      <w:r>
        <w:t>Il n'est en l'espèce pas contesté que le mazot sert actuellement à l'entreposage de l'outillage destiné à l'entretien du pré: une tondeuse à gazon de dimension standard, une faux, une débroussailleuse à essence, un piolet, une scie à bois (à main) et quelques outils de jardinage et d'entretien des buissons. On ne saurait toutefois en déduire - comme le fait la recourante - que l'implantation de la construction litigieuse en zone agricole serait de ce fait imposée par sa destination, comme l'exige l' art. 24 let. a LAT . La recourante perd en effet de vue qu'il n'est pas suffisant, sous l'angle de cette disposition, que le dépôt litigieux présente un lien avec l'entretien de la parcelle, encore faut-il que son implantation sur celle-ci réponde à une nécessité particulière excluant qu'il ne puisse prendre place ailleurs. A cet égard, le seul éloignement - au demeurant non établi - de la zone à bâtir, dans laquelle pourrait prendre place le mazot, n'implique pas automatiquement l'existence d'une telle nécessité et l'arrêt 1C_169/2012 du 19 mars 2013, dont se prévaut la recourante, ne dit pas autre chose: portant sur la question du logement indispensable à l'exploitation agricole au sens de l' art. 34 al. 3 OAT , ce précédent rappelle que la proximité de la zone constructible constitue un critère parmi d'autres dans l'examen du caractère nécessaire de l'implantation du logement de l'agriculteur hors de la zone à bâtir, au sein de son domaine (cf. arrêt 1C_169/2012 précité consid. 5.1; cf. également ATF 121 II 67 consid. 3a p. 69). Or, pour peu que les principes dégagés de cette jurisprudence soient également applicables en l'absence - comme en l'espèce - d'une exploitation agricole (cf. consid. 3.2), force est de reconnaître que l'existence d'une telle nécessité n'est pas établie; on ne discerne en particulier pas en quoi l'outillage concerné - relativement peu encombrant - ne pourrait pas être entreposé ailleurs, quitte à être transporté en cas de besoin, comme cela a - de l'aveu de la recourante - été le cas jusqu'à présent. Dans ces circonstances, en tant qu'il retient que l'implantation choisie repose exclusivement sur des motifs de convenance personnelle, l'arrêt attaqué n'est pas discutable. On ne saurait enfin suivre la recourante lorsqu'elle affirme qu'un mazot ne pourrait, de par sa nature traditionnelle, être implanté qu'en dehors de la zone à bâtir. Outre que rien ne permet de confirmer cette affirmation, le choix d'une forme particulière de construction ne saurait faire obstacle à l'application du principe cardinal de la séparation du territoire bâti et non bâti et justifier une implantation en zone agricole ne répondant - comme le mazot en cause - à aucune nécessité au sens de la jurisprudence.</w:t>
      </w:r>
    </w:p>
    <w:p>
      <w:r>
        <w:rPr>
          <w:b/>
        </w:rPr>
        <w:t>E. 4.3</w:t>
      </w:r>
    </w:p>
    <w:p>
      <w:r>
        <w:t>Entièrement mal fondé, ce grief doit être rejeté.</w:t>
      </w:r>
    </w:p>
    <w:p>
      <w:r>
        <w:rPr>
          <w:b/>
        </w:rPr>
        <w:t>E. 5</w:t>
      </w:r>
    </w:p>
    <w:p>
      <w:r>
        <w:t>Le dépôt litigieux ne pouvant être mis au bénéfice d'une autorisation postérieure, il convient d'examiner si l'ordre de remise en état est conforme au principe de la proportionnalité, ce que la recourante conteste.</w:t>
      </w:r>
    </w:p>
    <w:p>
      <w:r>
        <w:rPr>
          <w:b/>
        </w:rPr>
        <w:t>E. 5.1</w:t>
      </w:r>
    </w:p>
    <w:p>
      <w:r>
        <w:t>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Celui qui place l'autorité devant un fait accompli doit s'attendre à ce que celle-ci se préoccupe plus de rétablir une situation conforme au droit que d'éviter les inconvénients qui en découlent pour lui ( ATF 123 II 248 consid. 4a p. 255; 111 Ib 213 consid. 6b p. 224).</w:t>
      </w:r>
    </w:p>
    <w:p>
      <w:r>
        <w:rPr>
          <w:b/>
        </w:rPr>
        <w:t>E. 5.2</w:t>
      </w:r>
    </w:p>
    <w:p>
      <w:r>
        <w:t>En l'espèce, la cour cantonale a jugé que la dérogation à la règle ne pouvait être qualifiée de mineure. Elle a retenu que la recourante avait agi de mauvaise foi en érigeant le mazot tout en sachant que celui-ci ne pouvait bénéficier d'une autorisation suite, notamment, aux renseignements communiqués par la CCC. Le Tribunal cantonal a en outre considéré que cette construction ne reposait sur aucun motif objectif propre à justifier une dérogation au caractère inconstructible de la zone agricole. L'instance précédente a enfin estimé que la recourante n'avait pas démontré que le coût lié au déplacement du mazot serait disproportionné par rapport aux intérêts publics poursuivis, en particulier celui lié à la séparation du territoire bâti et non bâti. La recourante conteste cette appréciation. On ne discerne cependant pas en quoi il serait critiquable - et la recourante ne l'explique pas - d'avoir retenu qu'elle a agi de mauvaise foi en érigeant sans autorisation le mayen litigieux: la recourante a non seulement fait fi de la réponse négative de la CCC à sa demande de renseignement du 30 octobre 2013 (cf. art. 30 de l'ordonnance sur les constructions du 2 octobre 1996 [OC; RS/VS 705.100), mais également du refus du permis de construire alors encore débattu devant le Conseil d'Etat. Par ailleurs, comme on l'a vu, l'implantation du mazot hors de la zone à bâtir ne répond pas à une nécessité particulière, mais repose, au contraire, sur des motifs de convenance personnelle tenant aux désagréments liés au transport de l'outillage de jardin (cf. consid. 4.2). Enfin, tout comme devant l'instance précédente, la recourante ne fournit aucun élément concret susceptible de démontrer le caractère disproportionné du coût de la remise en état, se contentant d'affirmer, de façon purement appellatoire, qu'il s'agirait d'une "somme conséquente", ce qui est insuffisant au regard des exigences de motivation du recours fédéral (art. 42 al. 2 et 106 al. 2 LTF). Dans ces circonstances, la recourante devait s'attendre à ce que l'autorité favorise le respect du caractère inconstructible de la zone et fasse prévaloir l'intérêt public lié au respect de la séparation entre le territoire bâti et non bâti sur son intérêt privé au maintien de la construction illicite.</w:t>
      </w:r>
    </w:p>
    <w:p>
      <w:r>
        <w:rPr>
          <w:b/>
        </w:rPr>
        <w:t>E. 5.3</w:t>
      </w:r>
    </w:p>
    <w:p>
      <w:r>
        <w:t>Mal fondé, ce grief doit être écarté pour autant que recevable.</w:t>
      </w:r>
    </w:p>
    <w:p>
      <w:r>
        <w:rPr>
          <w:b/>
        </w:rPr>
        <w:t>E. 6</w:t>
      </w:r>
    </w:p>
    <w:p>
      <w:r>
        <w:t>Sur le vu de ce qui précède, le recours doit être rejeté dans la mesure de sa recevabilité, aux frais de la recourante, qui succombe ( art. 65 et 66 al. 1 LTF ). Il n'y a pas lieu d'allouer des dépens à l'intimée, qui a procédé sans avocat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