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1C_187/2020 vom 16. April 2020</w:t>
      </w:r>
    </w:p>
    <w:p>
      <w:r>
        <w:t>Bundesgericht, 2020-04-16, DE</w:t>
      </w:r>
    </w:p>
    <w:p>
      <w:r>
        <w:rPr>
          <w:b/>
        </w:rPr>
        <w:t xml:space="preserve">Quelle: </w:t>
      </w:r>
      <w:r>
        <w:t>https://mcp.opencaselaw.ch/entscheid/bger_1C_187_2020</w:t>
      </w:r>
    </w:p>
    <w:p>
      <w:r>
        <w:t>FR: TF 1C_187/2020 du 16 avril 2020</w:t>
      </w:r>
    </w:p>
    <w:p>
      <w:r>
        <w:t>IT: TF 1C_187/2020 del 16 aprile 2020</w:t>
      </w:r>
    </w:p>
    <w:p>
      <w:pPr>
        <w:pStyle w:val="Heading2"/>
      </w:pPr>
      <w:r>
        <w:t>Erwägungen</w:t>
      </w:r>
    </w:p>
    <w:p>
      <w:r>
        <w:rPr>
          <w:b/>
        </w:rPr>
        <w:t>E. 1</w:t>
      </w:r>
    </w:p>
    <w:p>
      <w:r>
        <w:t>A.________ erstattete am 14. Januar 2020 Strafanzeige gegen B.________, Leiter des Betreibungs- und Gemeindeammann-amtes Bonstetten, wegen Ehrverletzungsdelikten und Amtsmissbrauchs. Die Staatsanwaltschaft Limmattal/Albis überwies mit Verfügung vom 30. Januar 2020 die Akten an die III. Strafkammer des Obergerichts des Kantons Zürich zum Entscheid über die Erteilung bzw. Nichterteilung der Ermächtigung zur Strafverfolgung. Die III. Strafkammer des Obergerichts des Kantons Züricherteilte mit Beschluss vom 2. April 2020 die Ermächtigung zur Strafverfolgung nicht. Sie führte zur Begründung zusammenfassend aus, dass sich die Strafanzeige als nicht stichhaltig erweise.</w:t>
      </w:r>
    </w:p>
    <w:p>
      <w:r>
        <w:rPr>
          <w:b/>
        </w:rPr>
        <w:t>E. 2</w:t>
      </w:r>
    </w:p>
    <w:p>
      <w:r>
        <w:t>A.________ führt mit Eingabe vom 11. April 2020 Beschwerde in öffentlich-rechtlichen Angelegenheiten gegen den Beschluss der III. Strafkammer des Obergerichts des Kantons Zürich. Das Bundesgericht verzichtet auf die Einholung von Vernehmlassungen.</w:t>
      </w:r>
    </w:p>
    <w:p>
      <w:r>
        <w:rPr>
          <w:b/>
        </w:rPr>
        <w:t>E. 3</w:t>
      </w:r>
    </w:p>
    <w:p>
      <w:r>
        <w:t>Anfechtungsgegenstand ist der Beschluss der III. Strafkammer des Obergerichts des Kantons Zürich. Soweit der Beschwerdeführer Anträge stellt, die ausserhalb des im Beschluss geregelten Rechtsverhältnisses liegen, kann auf die Beschwerde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geht überhaupt nicht auf die Begründung der III. Strafkammer ein und vermag mit seinen sachfremden Ausführungen nicht aufzuzeigen, dass die III. Strafkammer Recht im Sinne von Art. 42 Abs. 2 BGG verletzt hätte, als sie die Ermächtigung nicht erteilte. Der Beschwerdeführer legt nicht ansatzweise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