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187/2014 vom 13. November 2014</w:t>
      </w:r>
    </w:p>
    <w:p>
      <w:r>
        <w:t>Bundesgericht, 2014-11-13, FR</w:t>
      </w:r>
    </w:p>
    <w:p>
      <w:r>
        <w:rPr>
          <w:b/>
        </w:rPr>
        <w:t xml:space="preserve">Quelle: </w:t>
      </w:r>
      <w:r>
        <w:t>https://mcp.opencaselaw.ch/entscheid/bger_1C_187_2014</w:t>
      </w:r>
    </w:p>
    <w:p>
      <w:r>
        <w:t>FR: TF 1C 187/2014 du 13 novembre 2014</w:t>
      </w:r>
    </w:p>
    <w:p>
      <w:r>
        <w:t>IT: TF 1C 187/2014 del 13 novembre 2014</w:t>
      </w:r>
    </w:p>
    <w:p>
      <w:pPr>
        <w:pStyle w:val="Heading2"/>
      </w:pPr>
      <w:r>
        <w:t>Regeste</w:t>
      </w:r>
    </w:p>
    <w:p>
      <w:r>
        <w:t>Constatation de la nature forestière | Équilibre écologique</w:t>
      </w:r>
    </w:p>
    <w:p>
      <w:pPr>
        <w:pStyle w:val="Heading2"/>
      </w:pPr>
      <w:r>
        <w:t>Erwägungen</w:t>
      </w:r>
    </w:p>
    <w:p>
      <w:r>
        <w:rPr>
          <w:b/>
        </w:rPr>
        <w:t>E. 1</w:t>
      </w:r>
    </w:p>
    <w:p>
      <w:r>
        <w:t>Dirigé contre une décision de constatation de la nature forestière au sens de l'art. 10 de la loi fédérale du 4 octobre 1991 sur les forêts (LFo; RS 921.0), le recours est recevable comme recours en matière de droit public ( art. 82 let. a LTF ), aucune des exceptions prévues à l' art. 83 LTF n'étant réalisée. Les recourants ont pris part à la procédure devant le Tribunal cantonal. En tant que propriétaires du terrain concerné, ils peuvent se prévaloir d'un intérêt personnel et digne de protection à l'annulation ou à la modification de l'arrêt attaqué. Ils ont dès lors qualité pour agir au sens de l' art. 89 al. 1 LTF . Pour le surplus, interjeté en temps utile et dans les formes requises contre une décision finale prise en dernière instance cantonale, le recours est recevable au regard des art. 42, 86 al. 1 let . d, 90 et 100 al. 1 LTF.</w:t>
      </w:r>
    </w:p>
    <w:p>
      <w:r>
        <w:rPr>
          <w:b/>
        </w:rPr>
        <w:t>E. 2</w:t>
      </w:r>
    </w:p>
    <w:p>
      <w:r>
        <w:t>Les conclusions des recourants relatives au secteur 3 de leur parcelle sont contradictoires en ce sens qu'ils demandent son exclusion du champ d'application du régime forestier et, à la fois, la constatation de sa nature forestière. Il s'agit manifestement d'une erreur de plume. Dans la mesure où l'argumentation du recours est entièrement dirigée contre la constatation de la nature forestière du secteur 4 et dès lors que l'arrêt cantonal précise que les recourants avaient renoncé à contester la nature forestière du secteur 3, il y a lieu de considérer que seul le secteur 4 fait l'objet de la procédure devant le Tribunal fédéral.</w:t>
      </w:r>
    </w:p>
    <w:p>
      <w:r>
        <w:rPr>
          <w:b/>
        </w:rPr>
        <w:t>E. 3</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 En l'espèce, les recourants, tant dans une partie "fait" de leur mémoire que dans leur argumentation, présentent leur propre version des faits, sans expliquer en quoi elle devrait être préférée à l'état de fait résultant de l'arrêt attaqué. Le Tribunal fédéral n'en tient par conséquent pas compte.</w:t>
      </w:r>
    </w:p>
    <w:p>
      <w:r>
        <w:rPr>
          <w:b/>
        </w:rPr>
        <w:t>E. 4</w:t>
      </w:r>
    </w:p>
    <w:p>
      <w:r>
        <w:t>Les recourants se plaignent d'une violation de leur droit d'être entendus au motif que les circonstances du déboisement de 2007 n'ont jamais fait l'objet de débats ni d'une administration des preuves. Ils déplorent à cet égard l'absence d'audition du garde-forestier chargé de ce déboisement.</w:t>
      </w:r>
    </w:p>
    <w:p>
      <w:r>
        <w:rPr>
          <w:b/>
        </w:rPr>
        <w:t>E. 4.1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 131 I 153 consid. 3 p. 157).</w:t>
      </w:r>
    </w:p>
    <w:p>
      <w:r>
        <w:rPr>
          <w:b/>
        </w:rPr>
        <w:t>E. 4.2</w:t>
      </w:r>
    </w:p>
    <w:p>
      <w:r>
        <w:t>Le déboisement de 2007 n'était pas expressément mentionné dans la décision contestée du 18 juin 2009. Celle-ci justifiait toutefois le maintien du régime forestier pour le secteur 4 par le fait que son aspect actuel résultait "de travaux d'entretien importants", ce qui comprend la notion d'abattage d'arbres. La référence au déboisement de 2007 ressort ainsi implicitement de cette décision. Par ailleurs, le 16 septembre 2009, la commune évoquait dans ses premières observations sur le recours cantonal, "un abattage sévère de la presque totalité des essences" de ce secteur, effectué en automne 2007. Aussi, les recourants, s'ils souhaitaient s'exprimer, apporter des moyens de preuves ou demander qu'une instruction plus précise soit menée sur cette question, en ont-ils eu l'occasion dès le début de la procédure. Il ressort quoi qu'il en soit du dossier que le déboisement a été discuté lors de l'audience du 24 juin 2013. Il s'agit même de l'un des deux seuls éléments relatés dans le procès-verbal. Les recourants, qui ont disposé d'un délai pour se déterminer sur ce document, n'ont pas jugé utile de revenir sur les circonstances du déboisement ou les conséquences juridiques à en déduire. Ils ne précisent au demeurant pas ce que l'audition du garde-forestier qui a procédé à l'abattage aurait pu apporter dans l'appréciation de la cause. Il n'y a ainsi aucune violation de leur droit d'être entendus à cet égard.</w:t>
      </w:r>
    </w:p>
    <w:p>
      <w:r>
        <w:rPr>
          <w:b/>
        </w:rPr>
        <w:t>E. 5</w:t>
      </w:r>
    </w:p>
    <w:p>
      <w:r>
        <w:t>Selon les recourants, le secteur litigieux, peu dense et peuplé d'espèces non forestières, devrait être qualifié de parc, de sorte qu'il ne pourrait lui être conféré une nature forestière.</w:t>
      </w:r>
    </w:p>
    <w:p>
      <w:r>
        <w:rPr>
          <w:b/>
        </w:rPr>
        <w:t>E. 5.1</w:t>
      </w:r>
    </w:p>
    <w:p>
      <w:r>
        <w:t>La LFo a pour but général la protection des forêts, notamment la conservation de l'aire forestière ( art. 1 et 3 LFo ). L' art. 2 LFo définit la notion de forêt.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L' art. 2 al. 2 LFo indique ce qui doit être assimilé aux forêts, alors que l' art. 2 al. 3 LFo exclut de cette notion notamment les groupes d'arbres ou d'arbustes isolés, les haies, les allées, les jardins, les parcs et les espaces verts. Dans le cadre posé par l'art. 1 al. 1 de l'ordonnance du 30 novembre 1992 sur les forêts (OFo; RS 921.01), l'art. 2 al. 1 de la loi forestière vaudoise du 19 juin 1996 (LVLFO; RSV 921.01) définit quantitativement comme forêts les surfaces boisées de 800 m² et plus, les cordons boisés de douze mètres de largeur et plus, ainsi que les surfaces conquises par un peuplement fermé âgé de plus de vingt ans. Ces critères quantitatifs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 ATF 125 II 440 consid. 3 p. 447; arrêt 1A.13/2005 du 24 juin 2005 consid. 4.2). A l'inverse, dans certaines circonstances, l'existence d'une forêt peut être admise malgré l'absence de boisement (cf. Message du 29 juin 1988 concernant la LFo, FF 1988 III 174 ch. 21), en particulier lorsqu'il apparaît qu'un défrichement a eu lieu sans autorisation; le moment déterminant pour évaluer la nature du boisement n'est alors plus celui de la décision de première instance ( ATF 124 II 85 consid. 4d p. 92; 120 Ib 339 consid. 4 p. 342; arrêts 1C_431/2011 du 15 mars 2012 consid. 3.3; 1C_169/2009 du 14 octobre 2009 consid. 3.1). La version en langue allemande de l' art. 2 al. 3 LFo recourt, pour les notions de jardins, parcs et espaces verts, au concept d' Anlage (" Garten-, Grün- und Parkanlagen "), qui peut se traduire de différentes manières en français (installations, aménagements, annexes ou équipement), mais implique dans tous les cas un lien avec les bâtiments ou infrastructures situés directement alentour ( ATF 124 II 85 consid. 4b-4c p. 90-91).</w:t>
      </w:r>
    </w:p>
    <w:p>
      <w:r>
        <w:rPr>
          <w:b/>
        </w:rPr>
        <w:t>E. 5.2.1</w:t>
      </w:r>
    </w:p>
    <w:p>
      <w:r>
        <w:t>Il n'est pas contesté que la surface du boisement litigieux est largement supérieure au minimum prescrit par la législation. Elle est toutefois très peu densément arborisée. La décision du SFFN note qu'il ne reste que très peu d'espèces ligneuses, que la rangée de résineux a été supprimée et qu'il ne subsiste que quelques noyers et un chêne. D'après la cour cantonale, le secteur comprend une dizaine d'arbres d'essence forestière. L'OFEV a pour sa part constaté que certaines essences du secteur 4 sont indigènes, d'autres exotiques. Les arbres abattus en 2007 ont fait l'objet d'un "dessouchage", de sorte qu'aucune trace de souche n'est plus observable actuellement. Le secteur est caractérisé par la présence de deux vieux chênes pédonculés, dont le diamètre est supérieur à 50 cm, vestiges du peuplement forestier d'origine. Une vingtaine d'arbres a été plantée au cours des deux dernières décennies; ceux-ci sont maintenant d'âge variable et de diamètres inférieurs à 30 cm. Le sol est couvert d'une végétation herbacée de prairie, parsemée de quelques ronces. Enfin, un processus de rajeunissement naturel de chêne pédonculé, de merisier et de noyer est en cours. En définitive, l'OFEV relève que le secteur 4 conserve son potentiel intact de fonctions forestières en dépit de l'entretien actuel non conforme à celui d'une forêt. En particulier, la présence de chênes pédonculés, essence caractéristique de cette station, assure à la fois une production de bois et une valeur biologique et paysagère élevée.</w:t>
      </w:r>
    </w:p>
    <w:p>
      <w:r>
        <w:rPr>
          <w:b/>
        </w:rPr>
        <w:t>E. 5.2.2</w:t>
      </w:r>
    </w:p>
    <w:p>
      <w:r>
        <w:t>Contrairement à l'opinion des recourants et conformément à la jurisprudence précitée, la situation avant le déboisement de 2007 doit être prise en considération dans la présente procédure, ce d'autant que celle-ci a été engagée sitôt après l'abattage des arbres. Les recourants ne peuvent à cet égard tirer aucun bénéfice de leur bonne foi: même s'ils pensaient que le déboisement de 2007, autorisé par l'inspecteur forestier (mais non selon une procédure de défrichement), signifiait que ce secteur n'était pas de nature forestière, ils n'ont toutefois pris aucune disposition irréversible en fonction de cette appréciation. Il n'y a dès lors pas lieu d'examiner si les autres conditions à l'application du principe de la bonne foi sont réunies. Ensuite, le fait qu'aucun reboisement de compensation n'ait été ordonné n'est pas propre à déterminer la nature du secteur litigieux. En d'autres termes, l'abattage des arbres effectué en 2007 par le garde-forestier ne peut guider l'appréciation de la nature du peuplement litigieux dans un sens ni dans l'autre. Il ressort en effet du dossier - et les recourants ne démontrent pas le contraire - que les conditions du déboisement de 2007 n'ont pas été établies dans le détail par une procédure en bonne et due forme. Dans ces circonstances, il n'est pas possible d'en inférer, comme tentent de le faire les recourants, qu'une autorisation de défrichement n'était pas nécessaire (et donc le régime forestier non applicable), ni, comme l'exposent la DGE et l'OFEV, que la seule intervention du garde-forestier démontrerait la nature forestière du secteur. Il n'y a enfin pas lieu de tenir compte de l'entretien récent du parc, sauf à vider de son sens la législation. On ne saurait en effet justifier la nature non forestière d'un secteur naturellement boisé (comme l'attestent les photos aériennes antérieures aux constructions de la parcelle), par la seule volonté des propriétaires de le transformer en parc. Les critères de l'entretien et de l'intention des propriétaires ne sont pertinents que dans la situation inverse, à savoir lorsqu'un parc complètement artificiel est longuement laissé à l'état sauvage au point qu'il prenne une nature de forêt.</w:t>
      </w:r>
    </w:p>
    <w:p>
      <w:r>
        <w:rPr>
          <w:b/>
        </w:rPr>
        <w:t>E. 5.2.3</w:t>
      </w:r>
    </w:p>
    <w:p>
      <w:r>
        <w:t>En dépit du déboisement de 2007 et des récentes interventions tendant à un entretien de type parc, le secteur 4 présente encore des essences de forêt. Sa dynamique actuelle démontre au demeurant un rapide processus de rajeunissement naturel par l'emprise de nouvelles pousses forestières. A cela s'ajoute qu'à l'instar de ce qu'a fait la cour cantonale, il faut en réalité tenir compte de l'état du boisement avant les coupes de 2007. L'argumentation des recourants, fondée pour l'essentiel sur l'état actuel des lieux, est ainsi sans pertinence. Pour le reste, ceux-ci remettent en cause de manière appellatoire la référence aux photos aériennes antérieures à 1992, sans apporter d'élément qui permettrait de démontrer que le boisement densément peuplé d'alors - ce qui ressort manifestement du dossier - n'était déjà plus de nature forestière.</w:t>
      </w:r>
    </w:p>
    <w:p>
      <w:r>
        <w:rPr>
          <w:b/>
        </w:rPr>
        <w:t>E. 5.3</w:t>
      </w:r>
    </w:p>
    <w:p>
      <w:r>
        <w:t>En résumé, le boisement litigieux était, avant les coupes de 2007, de nature forestière et est toujours en mesure d'exercer les fonctions d'une forêt. Dès lors qu'il y a lieu de faire abstraction de ce déboisement et des récentes mesures d'entretien, réalisés non conformément à la législation sur les forêts, la nature forestière du secteur 4 doit être confirmée.</w:t>
      </w:r>
    </w:p>
    <w:p>
      <w:r>
        <w:rPr>
          <w:b/>
        </w:rPr>
        <w:t>E. 6</w:t>
      </w:r>
    </w:p>
    <w:p>
      <w:r>
        <w:t>Il résulte de ce qui précède que le recours doit être rejeté. Les recourants, qui succombent s'acquitteront des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