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186/2020 vom 17. August 2020</w:t>
      </w:r>
    </w:p>
    <w:p>
      <w:r>
        <w:t>Bundesgericht, 2020-08-17, DE</w:t>
      </w:r>
    </w:p>
    <w:p>
      <w:r>
        <w:rPr>
          <w:b/>
        </w:rPr>
        <w:t xml:space="preserve">Quelle: </w:t>
      </w:r>
      <w:r>
        <w:t>https://mcp.opencaselaw.ch/entscheid/bger_1C_186_2020</w:t>
      </w:r>
    </w:p>
    <w:p>
      <w:r>
        <w:t>FR: TF 1C 186/2020 du 17 août 2020</w:t>
      </w:r>
    </w:p>
    <w:p>
      <w:r>
        <w:t>IT: TF 1C 186/2020 del 17 agosto 2020</w:t>
      </w:r>
    </w:p>
    <w:p>
      <w:pPr>
        <w:pStyle w:val="Heading2"/>
      </w:pPr>
      <w:r>
        <w:t>Regeste</w:t>
      </w:r>
    </w:p>
    <w:p>
      <w:r>
        <w:t>Baubewilligung | Raumplanung und öffentliches Baurecht</w:t>
      </w:r>
    </w:p>
    <w:p>
      <w:pPr>
        <w:pStyle w:val="Heading2"/>
      </w:pPr>
      <w:r>
        <w:t>Erwägungen</w:t>
      </w:r>
    </w:p>
    <w:p>
      <w:r>
        <w:rPr>
          <w:b/>
        </w:rPr>
        <w:t>E. 1</w:t>
      </w:r>
    </w:p>
    <w:p>
      <w:r>
        <w:t>Angefochten ist ein kantonal letztinstanzlicher Endentscheid in einer öffentlich-rechtlichen Angelegenheit ( Art. 82 lit. a, Art. 86 Abs. 1 lit. d und Art. 90 BGG ). Dagegen ist die Beschwerde in öffentlich-rechtlichen Angelegenheiten gegeben; die fehlerhafte Bezeichnung des Rechtsmittels ("staatsrechtliche Beschwerde") in der Beschwerdeschrift schadet dem Beschwerdeführer nicht ( BGE 138 I 367 E. 1.1 S. 370 mit Hinweis). Dieser ist als Baugesuchsteller zur Beschwerde berechtigt ( Art. 89 Abs. 1 BGG ). Den angefochtenen Entscheid erhielt er am 16. März 2020. Seine Beschwerde vom 12. April 2020 ist damit fristgerecht ( Art. 100 Abs. 1 BGG ). Auf die Beschwerde ist vorbehältlich einer hinreichenden Begründung einzutreten.</w:t>
      </w:r>
    </w:p>
    <w:p>
      <w:r>
        <w:rPr>
          <w:b/>
        </w:rPr>
        <w:t>E. 2</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 einschliesslich die willkürliche Anwendung von kantonalem und kommunalem Recht - prüft es dagegen nur insoweit, als eine solche Rüge in der Beschwerde vorgebracht und genügend begründet worden ist ( Art. 106 Abs. 2 BGG ). Dabei gelten qualifizierte Begründungsanforderungen ( BGE 133 II 249 E. 1.4.2 S. 254 mit Hinweisen).</w:t>
      </w:r>
    </w:p>
    <w:p>
      <w:r>
        <w:rPr>
          <w:b/>
        </w:rPr>
        <w:t>E. 3</w:t>
      </w:r>
    </w:p>
    <w:p>
      <w:r>
        <w:t>Das Verwaltungsgericht legte detailliert dar, weshalb der im kommunalen Baurecht vorgesehene Grenzabstand nicht eingehalten ist und das Baugesuch deshalb nicht bewilligt werden kann. Der Beschwerdeführer geht auf die betreffenden Erwägungen kaum ein und legt insbesondere nicht dar, dass die Auslegung des kommunalen Rechts geradezu willkürlich sei ( Art. 9 BV ). Auf die Beschwerde ist insofern nicht einzutreten ( Art. 106 Abs. 2 BGG ). Auch zur im kantonalen Baurecht geregelten Besitzstandsgarantie enthält die Beschwerdeschrift keine hinreichend begründete Rüge, aus der hervorgehen würde, weshalb der angefochtene Entscheid in diesem Punkt willkürlich sein sollte. Aus welchem Grund der Beschwerdeführer davon ausging, dass die zusätzliche Isolation kein Problem sein würde, nachdem ihm der Bau eines Carports bewilligt worden war, und weshalb darin ein Verstoss gegen Treu und Glauben liegen soll, wird ebenfalls nicht weiter ausgeführt und ist nicht nachvollziehbar. Auch darauf ist nicht einzutreten.</w:t>
      </w:r>
    </w:p>
    <w:p>
      <w:r>
        <w:rPr>
          <w:b/>
        </w:rPr>
        <w:t>E. 4.1</w:t>
      </w:r>
    </w:p>
    <w:p>
      <w:r>
        <w:t>Der Beschwerdeführer verlangt eine Gleichbehandlung im Unrecht und wirft der Gemeinde eine gesetzeswidrige Praxis vor. Er verweist auf einen "Attikarückversatz" und eine Umgebungsgestaltung, die seines Erachtens in der Vergangenheit zu Unrecht bewilligt worden sind.</w:t>
      </w:r>
    </w:p>
    <w:p>
      <w:r>
        <w:rPr>
          <w:b/>
        </w:rPr>
        <w:t>E. 4.2</w:t>
      </w:r>
    </w:p>
    <w:p>
      <w:r>
        <w:t>Nach der bundesgerichtlichen Rechtsprechung geht der Grundsatz der Gesetzmässigkeit der Verwaltung in der Regel der Rücksicht auf eine gleichmässige Rechtsanwendung vor. Der Umstand, dass das Gesetz in anderen Fällen nicht oder nicht richtig angewendet worden ist, gibt den Bürgern grundsätzlich keinen Anspruch darauf, ebenfalls abweichend vom Gesetz behandelt zu werden. Ausnahmsweise und unter strengen Bedingungen wird jedoch im Rahmen des verfassungsmässig verbürgten Gleichheitssatzes ein Anspruch auf Gleichbehandlung im Unrecht anerkannt ( Art. 8 Abs. 1 BV ). Vorausgesetzt ist, dass die zu beurteilenden Fälle in den erheblichen Sachverhaltselementen übereinstimmen, dass dieselbe Behörde in ständiger Praxis vom Gesetz abweicht und zudem zu erkennen gibt, auch inskünftig nicht gesetzeskonform entscheiden zu wollen (zur Publ. vorgesehenes Urteil 2C_209/2017 vom 16. Dezember 2019 E. 5.3.1; BGE 139 II 49 E. 7.1 S. 61; je mit Hinweisen).</w:t>
      </w:r>
    </w:p>
    <w:p>
      <w:r>
        <w:rPr>
          <w:b/>
        </w:rPr>
        <w:t>E. 4.3</w:t>
      </w:r>
    </w:p>
    <w:p>
      <w:r>
        <w:t>Die Ausführungen des Beschwerdeführers lassen nicht erkennen, dass die Gemeinde Aadorf in den beiden angeführten Beispielen rechtswidrig gehandelt hätte. Zudem kann gestützt auf zwei isolierte Fälle ohnehin nicht von einer ständigen Praxis gesprochen werden. Schliesslich wäre erforderlich, dass die Fälle mit dem vorliegenden, in dem es um Abstandsvorschriften für unter dem Boden gelegene Bauteile geht, vergleichbar ist, was nicht zutrifft. Die Rüge der Verletzung von Art. 8 Abs. 1 BV ist deshalb unbegründet.</w:t>
      </w:r>
    </w:p>
    <w:p>
      <w:r>
        <w:rPr>
          <w:b/>
        </w:rPr>
        <w:t>E. 5</w:t>
      </w:r>
    </w:p>
    <w:p>
      <w:r>
        <w:t>Die Beschwerde ist aus diesen Erwägungen abzuweisen, soweit darauf einzutreten ist. 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