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1C_186/2017 vom 5. April 2017</w:t>
      </w:r>
    </w:p>
    <w:p>
      <w:r>
        <w:t>Bundesgericht, 2017-04-05, FR</w:t>
      </w:r>
    </w:p>
    <w:p>
      <w:r>
        <w:rPr>
          <w:b/>
        </w:rPr>
        <w:t xml:space="preserve">Quelle: </w:t>
      </w:r>
      <w:r>
        <w:t>https://mcp.opencaselaw.ch/entscheid/bger_1C_186_2017</w:t>
      </w:r>
    </w:p>
    <w:p>
      <w:r>
        <w:t>FR: TF 1C_186/2017 du 5 avril 2017</w:t>
      </w:r>
    </w:p>
    <w:p>
      <w:r>
        <w:t>IT: TF 1C_186/2017 del 5 aprile 2017</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Le recours porte certes sur la transmission de renseignements touchant le domaine secret. Toutefois, compte tenu des faits à l'origine de la demande - il ne s'agit en particulier pas de délits politiques ou fiscaux - et de la nature de la transmission envisagée, le cas ne revêt en soi aucune importance particulière.</w:t>
      </w:r>
    </w:p>
    <w:p>
      <w:r>
        <w:rPr>
          <w:b/>
        </w:rPr>
        <w:t>E. 1.3</w:t>
      </w:r>
    </w:p>
    <w:p>
      <w:r>
        <w:t>La recourante se plaint de ne pas avoir disposé d'une occasion concrète de faire valoir ses objections à la transmission litigieuse. Le Ministère public n'avait pas fait savoir qu'il envisageait la transmission de l'intégralité de la documentation, de sorte que l'établissement bancaire n'avait averti la recourante qu'après le prononcé de l'ordonnance de clôture. Compte tenu du nombre de pièces bancaires, le délai de recours ne pouvait suffire pour réparer la violation du droit d'être entendu.</w:t>
      </w:r>
    </w:p>
    <w:p>
      <w:r>
        <w:rPr>
          <w:b/>
        </w:rPr>
        <w:t>E. 1.4</w:t>
      </w:r>
    </w:p>
    <w:p>
      <w:r>
        <w:t>La jurisprudence mentionnée dans l'arrêt attaqué rappelle que seules les personnes ayant élu domicile en Suisse (ce qui n'est pas le cas de la recourante) peuvent se voir notifier les décisions prises en matière d'entraide judiciaire ( art. 80m al. 1 EIMP et art. 9 OEIMP ). A défaut d'élection de domicile, les décisions sont notifiées au seul détenteur des documents, à charge pour celui-ci d'informer rapidement son client. Cela vaut également lorsque la relation bancaire a été clôturée ( ATF 136 IV 16 consid. 2.2 p. 18 et la jurisprudence citée). En l'occurrence, l'ordonnance d'entrée en matière a été notifiée à la banque près d'un mois avant le prononcé de l'ordonnance de clôture, ce qui laissait à la banque le temps d'avertir sa cliente, et à celle-ci la possibilité d'élire domicile et de se manifester en demandant, le cas échéant, un délai supplémentaire pour examiner l'ensemble de la documentation bancaire. Par ailleurs, la jurisprudence constante permet aussi à l'autorité de recours de réparer une éventuelle violation du droit d'être entendu - y compris en ce qui concerne le droit de procéder au tri des pièces à transmettre - pour autant que cette autorité dispose d'un plein pouvoir d'examen en fait et en droit ( ATF 124 II 132 consid. 2d p. 138-139), ce qui est le cas de la Cour des plaintes (cf. arrêt 1C_492/2012 du 9 octobre 2012 consid. 2.1). Sur ces points, l'arrêt attaqué est entièrement conforme à la pratique constante et il ne se pose aucune question de principe.</w:t>
      </w:r>
    </w:p>
    <w:p>
      <w:r>
        <w:rPr>
          <w:b/>
        </w:rPr>
        <w:t>E. 2</w:t>
      </w:r>
    </w:p>
    <w:p>
      <w:r>
        <w:t>Faute de porter sur un cas particulièrement important, le recours est irrecevable.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