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1C_186/2014 vom 17. Juni 2014</w:t>
      </w:r>
    </w:p>
    <w:p>
      <w:r>
        <w:t>Bundesgericht, 2014-06-17, FR</w:t>
      </w:r>
    </w:p>
    <w:p>
      <w:r>
        <w:rPr>
          <w:b/>
        </w:rPr>
        <w:t xml:space="preserve">Quelle: </w:t>
      </w:r>
      <w:r>
        <w:t>https://mcp.opencaselaw.ch/entscheid/bger_1C_186_2014</w:t>
      </w:r>
    </w:p>
    <w:p>
      <w:r>
        <w:t>FR: TF 1C_186/2014 du 17 juin 2014</w:t>
      </w:r>
    </w:p>
    <w:p>
      <w:r>
        <w:t>IT: TF 1C_186/2014 del 17 giugno 2014</w:t>
      </w:r>
    </w:p>
    <w:p>
      <w:pPr>
        <w:pStyle w:val="Heading2"/>
      </w:pPr>
      <w:r>
        <w:t>Erwägungen</w:t>
      </w:r>
    </w:p>
    <w:p>
      <w:r>
        <w:rPr>
          <w:b/>
        </w:rPr>
        <w:t>E. 1</w:t>
      </w:r>
    </w:p>
    <w:p>
      <w:r>
        <w:t>Le recours est dirigé contre une décision finale de dernière instance cantonale rendue en droit public des constructions. Il est recevable au regard des art. 82 let. a et 86 al. 1 let . d, et a été formé dans le délai fixé à l' art. 100 al. 1 LTF . Les recourants ont participé à la procédure devant l'instance précédente et ont un intérêt évident à la modification de l'arrêt attaqué en ce qui concerne les frais et dépens ( art. 89 al. 1 LTF ).</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L'examen du Tribunal fédéral se fonde sur les faits constatés par l'autorité précédente (cf. art. 105 al. 1 LTF ), à moins que ces faits n'aient été établis de façon manifestement inexacte ( ATF 137 I 58 consid. 4.1.2 p. 62) ou en violation du droit au sens de l' art. 95 LTF (cf. art. 105 al. 2 LTF ).</w:t>
      </w:r>
    </w:p>
    <w:p>
      <w:r>
        <w:rPr>
          <w:b/>
        </w:rPr>
        <w:t>E. 3</w:t>
      </w:r>
    </w:p>
    <w:p>
      <w:r>
        <w:t>Les recourants se plaignent d'une application arbitraire des art. 89 al. 1 et 91 al. 1 de la loi cantonale sur la procédure et la juridiction administratives (LPJA). Ils relèvent que le recours d'Helvetia Nostra n'avait de chances de succès ni avant les arrêts du Tribunal fédéral du 22 mai 2013 (faute de qualité pour recourir et d'applicabilité de l' art. 75b Cst. aux projets présentés avant le 1</w:t>
      </w:r>
    </w:p>
    <w:p>
      <w:r>
        <w:t>er janvier 2013), ni après ces arrêts, compte tenu de l'indication des recourants quant à l'affectation de leur projet en résidence principale. En toute hypothèse, les recourants auraient eu gain de cause et devaient être dispensés des frais et se voir allouer des dépens.</w:t>
      </w:r>
    </w:p>
    <w:p>
      <w:r>
        <w:rPr>
          <w:b/>
        </w:rPr>
        <w:t>E. 3.1</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qu'une autre solution paraisse concevable, voire préférable à celle qui a été adoptée. Il faut encore que cette dernière soit insoutenable non seulement dans sa motivation, mais aussi dans dans son résultat ( ATF 138 I 305 consid. 4.3 p. 319; 137 I 58 consid. 4.1.2 p. 62 ).</w:t>
      </w:r>
    </w:p>
    <w:p>
      <w:r>
        <w:rPr>
          <w:b/>
        </w:rPr>
        <w:t>E. 3.2</w:t>
      </w:r>
    </w:p>
    <w:p>
      <w:r>
        <w:t>Selon l'art. 89 al. 1 LPJA, "en règle générale, la partie qui succombe en cas de recours supporte les frais. Si elle n'est que partiellement déboutée, les frais sont réduits". L'art. 91 al. 1 de la même loi a la teneur suivante: "... l'autorité de recours allouera, sur requête, à la partie ayant entièrement ou partiellement gain de cause le remboursement des frais nécessaires qui lui ont été occasionnés (dépens) ". Selon la pratique cantonale non critiquée par les recourants, les frais et dépens d'une décision de classement sont réglés sur la base d'un pronostic sommairement motivé de l'issue prévisible du recours avant que les nouveaux éléments ne le rendent sans objet.</w:t>
      </w:r>
    </w:p>
    <w:p>
      <w:r>
        <w:rPr>
          <w:b/>
        </w:rPr>
        <w:t>E. 3.3</w:t>
      </w:r>
    </w:p>
    <w:p>
      <w:r>
        <w:t>La cour cantonale a considéré que le recours était devenu sans objet puisque l'argumentation soulevée, fondée sur l' art. 75b Cst. , ne s'appliquait plus au projet contesté dans la mesure où celui-ci constituait désormais une résidence principale. Cette manière de voir apparaît erronée: l'objet du recours était une autorisation de construire délivrée par la commune; celle-ci n'a pas été rapportée, mais simplement modifiée par l'ajout de certaines charges, et Helvetia Nostra contestait cette modification en soutenant que l'avenant délivré sur ce point n'était pas admissible. Quand bien même l'approche juridique s'est trouvée modifiée en cours de procédure, la contestation conservait tout son objet. La cour cantonale a d'ailleurs examiné les griefs soulevés en cours de procédure en réfutant l'argumentation fondée sur l'existence d'un abus de droit. Ainsi, plutôt que de déclarer le recours sans objet, elle aurait dû le rejeter en tenant compte des nouveaux éléments de fait apparus en cours de procédure (cf. arrêt 1C_874/ 2013 du 4 avril 2014, rejetant également le grief tiré de l'abus de droit).</w:t>
      </w:r>
    </w:p>
    <w:p>
      <w:r>
        <w:rPr>
          <w:b/>
        </w:rPr>
        <w:t>E. 3.4</w:t>
      </w:r>
    </w:p>
    <w:p>
      <w:r>
        <w:t>Contrairement à ce que soutiennent les recourants, l'élément de fait nouveau déterminant pour l'issue de la procédure n'est pas le prononcé des arrêts du Tribunal fédéral relatifs à l' art. 75b Cst. (qui reconnaissent à Helvetia Nostra le droit de recourir et déclarent directement applicable dès le 11 mars 2012 l' art. 75b Cst. ), mais bien la volonté des constructeurs de réaliser une résidence secondaire, exprimée le 12 août 2013. Seul cet élément rendait le recours "sans objet", respectivement mal fondé. Auparavant, Helvetia Nostra pouvait se croire fondée à recourir tant que la nature du projet n'était pas définie. Ni le permis de construire, ni la décision du Conseil d'Etat ne se prononcent en effet sur cette question. En particulier, par sa décision sur opposition, l'autorité communale examinait matériellement celle-ci à titre subsidiaire et invoquait des motifs relevant de l' art. 75b Cst. concernant les résidences secondaires, ce dont il y avait lieu de déduire qu'elle considérait que le projet contesté concernait une résidence secondaire. En outre, dans son recours au Tribunal cantonal, Helvetia Nostra affirmait que le projet de construction constituait "très vraisemblablement" une résidence secondaire, ce que n'avaient pas contesté les constructeurs dans leurs premières déterminations du 27 février 2013. C'est ainsi sans arbitraire que la cour cantonale a considéré que le recours présentait, à l'origine, de bonnes chances de succès.</w:t>
      </w:r>
    </w:p>
    <w:p>
      <w:r>
        <w:rPr>
          <w:b/>
        </w:rPr>
        <w:t>E. 4</w:t>
      </w:r>
    </w:p>
    <w:p>
      <w:r>
        <w:t>Le recours doit par conséquent être rejeté, aux frais des recourants ( art. 66 al. 1 LTF ). Helvetia Nostra n'a pas procédé et n'a dès lors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