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1C_185/2019 vom 12. November 2019</w:t>
      </w:r>
    </w:p>
    <w:p>
      <w:r>
        <w:t>Bundesgericht, 2019-11-12, DE</w:t>
      </w:r>
    </w:p>
    <w:p>
      <w:r>
        <w:rPr>
          <w:b/>
        </w:rPr>
        <w:t xml:space="preserve">Quelle: </w:t>
      </w:r>
      <w:r>
        <w:t>https://mcp.opencaselaw.ch/entscheid/bger_1C_185_2019</w:t>
      </w:r>
    </w:p>
    <w:p>
      <w:r>
        <w:t>FR: TF 1C_185/2019 du 12 novembre 2019</w:t>
      </w:r>
    </w:p>
    <w:p>
      <w:r>
        <w:t>IT: TF 1C_185/2019 del 12 novembre 2019</w:t>
      </w:r>
    </w:p>
    <w:p>
      <w:pPr>
        <w:pStyle w:val="Heading2"/>
      </w:pPr>
      <w:r>
        <w:t>Erwägungen</w:t>
      </w:r>
    </w:p>
    <w:p>
      <w:r>
        <w:rPr>
          <w:b/>
        </w:rPr>
        <w:t>E. 1.1</w:t>
      </w:r>
    </w:p>
    <w:p>
      <w:r>
        <w:t>Gegen den angefochtenen, kantonal letztinstanzlichen Endentscheid im Bereich des Baurechts steht grundsätzlich die Beschwerde in öffentlich-rechtlichen Angelegenheiten offen ( Art. 82 ff. BGG ; BGE 133 II 353 E. 2 S. 356). Die Beschwerdeführerin ist zur Beschwerdeführung legitimiert, da sie am vorinstanzlichen Verfahren teilgenommen hat und als Baugesuchstellerin vom Bauvorhaben besonders betroffen ist ( Art. 89 Abs. 1 BGG ).</w:t>
      </w:r>
    </w:p>
    <w:p>
      <w:r>
        <w:rPr>
          <w:b/>
        </w:rPr>
        <w:t>E. 1.2</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jedoch nur auf Vereinbarkeit mit dem Bundesrecht, namentlich mit dem Willkürverbot gemäss Art. 9 BV ( BGE 142 II 369 E. 2.1 S. 372 mit Hinweisen).</w:t>
      </w:r>
    </w:p>
    <w:p>
      <w:r>
        <w:rPr>
          <w:b/>
        </w:rPr>
        <w:t>E. 1.3</w:t>
      </w:r>
    </w:p>
    <w:p>
      <w:r>
        <w:t>Das Bundesgericht wendet das Recht von Amtes wegen an ( Art. 106 Abs. 1 BGG ). Es prüft die bei ihm angefochtenen Entscheide grundsätzlich nur auf Rechtsverletzungen hin, die von den Beschwerdeführern geltend gemacht und begründet werden (vgl. Art. 42 Abs. 2 BGG ). Erhöhte Anforderungen an die Begründung gelten, soweit die Verletzung von Grundrechten gerügt wird ( Art. 106 Abs. 2 BGG ; vgl. BGE 142 I 99 E. 1.7.1 und E. 1.7.2 S. 106 mit Hinweisen).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1.5</w:t>
      </w:r>
    </w:p>
    <w:p>
      <w:r>
        <w:t>Das BVU/AG ist am 18. Dezember 2017 auf das Wiedererwägungsgesuch der Beschwerdeführerin vom 18. August 2017 mangels wesentlicher Änderung der Sachlage nicht eingetreten. Daher obliegt es den nachfolgenden Instanzen, diesen Nichteintretensentscheid zu überprüfen. Der Regierungsrat und sodann das Verwaltungsgericht haben diesen Entscheid bestätigt. Vor Bundesgericht beschränkt sich der Streitgegenstand deshalb auf die Frage, ob das Verwaltungsgericht dies zu Recht getan hat. Trifft seine Erwägung zu, hat es dabei sein Bewenden. Soweit die Beschwerdeführerin einen Sachentscheid des Bundesgerichts auch zu Anträgen verlangt, die über den Streitgegenstand hinausgehen, kann darauf nicht eingetreten werden.</w:t>
      </w:r>
    </w:p>
    <w:p>
      <w:r>
        <w:rPr>
          <w:b/>
        </w:rPr>
        <w:t>E. 2</w:t>
      </w:r>
    </w:p>
    <w:p>
      <w:r>
        <w:t>Bei den von der Beschwerdeführerin am 3. Juli 2019 eingereichten Betriebsdaten 2019 gestützt auf ein vom 18. März 2019 datiertes "Formular C - Flächenerhebung Beitragsjahr 2019" handelt es sich um echte Noven, die erst nach dem Urteil der Vorinstanz vom 22. Februar 2019 entstanden sind. Sie sind im vorliegenden Verfahren nicht zu berücksichtigen (vgl. Art. 99 Abs. 1 BGG ; JOHANNA DORMANN, in: Basler Kommentar, Bundesgerichtsgesetz, 3. Aufl. 2018, N. 43 zu Art. 99 BGG sowie LORENZ KNEUBÜHLER, Die Verfahrensgrundsätze des BGG, ZBJV 2019 S. 475 bei Anm. 27).</w:t>
      </w:r>
    </w:p>
    <w:p>
      <w:r>
        <w:rPr>
          <w:b/>
        </w:rPr>
        <w:t>E. 3.1</w:t>
      </w:r>
    </w:p>
    <w:p>
      <w:r>
        <w:t>Die Beschwerdeführerin verlangt in ihrem Verfahrensantrag die "erneute Überprüfung und Gewährung des rechtlichen Gehörs, diesmal durch andere Richter". Sinngemäss verlangt die Beschwerdeführerin somit den Ausstand der Richter, die am Urteil vom 23. März 2018 mitgewirkt hatten. Als Begründung macht die Beschwerdeführerin geltend, der Sachverhalt sei in jenem Urteil falsch dargestellt worden.</w:t>
      </w:r>
    </w:p>
    <w:p>
      <w:r>
        <w:rPr>
          <w:b/>
        </w:rPr>
        <w:t>E. 3.2</w:t>
      </w:r>
    </w:p>
    <w:p>
      <w:r>
        <w:t>Nach Art. 36 Abs. 1 Satz 2 BGG hat die Partei, die den Ausstand einer Gerichtsperson des Bundesgerichts verlangt, die den Ausstand begründenden Tatsachen glaubhaft zu machen. Davon kann hier nicht die Rede sein. Die Mitwirkung einer Gerichtsperson in einem früheren Verfahren bildet für sich allein keinen Ausstandsgrund ( Art. 34 Abs. 2 BGG ). Im Ergebnis erweist sich das Ausstandsbegehren als unzulässig; das Bundesgericht tritt darauf nicht ein. Da es an einem zulässigen und hinreichend begründeten Ausstandsbegehren fehlt, braucht das Bundesgericht auch kein Verfahren nach Art. 37 Abs. 1 BGG durchzuführen (Urteil 1C_187/2017 und 1C_327/2017 vom 20. März 2018 E. 4.2 mit Hinweisen).</w:t>
      </w:r>
    </w:p>
    <w:p>
      <w:r>
        <w:rPr>
          <w:b/>
        </w:rPr>
        <w:t>E. 4.1</w:t>
      </w:r>
    </w:p>
    <w:p>
      <w:r>
        <w:t>Nach der Rechtsprechung folgt aus Art. 29 BV im Sinne einer verfahrensrechtlichen Minimalgarantie ein Anspruch auf Wiedererwägung. Diese soll aber nicht dazu dienen, rechtskräftige Entscheide immer wieder in Frage zu stellen ( BGE 136 II 177 E. 2.1 S. 181; 120 Ib 42 E. 2b S. 47 mit Hinweisen). Insoweit haben Verwaltungsbehörden ein rechtskräftiges Urteil eines Verwaltungsgerichts im Allgemeinen zu beachten. Der Anspruch auf Wiedererwägung greift gegenüber gerichtlich bestätigten Verwaltungsakten indes dann, wenn es darum geht, einen zeitlich offenen Dauersachverhalt an die im Laufe der Zeit geänderte Sach- und Rechtslage oder an neue Erkenntnisse anzupassen ( BGE 97 I 748 E. 4b S. 752 f.; Urteile 2C_487/2012 vom 2. April 2013 E. 3.3; 1P.59/2002 vom 22. August 2002 E. 7 mit Hinweis). Nach der Rechtsprechung ist die Rechtskraftwirkung von Dauerverfügungen insoweit beschränkt, als die Verwaltungsbehörde verpflichtet ist, auf einen Verwaltungsakt zurückzukommen, wenn die Umstände sich seither wesentlich geändert haben oder wenn die Gesuchstellerin erhebliche Tatsachen und Beweismittel namhaft macht, die ihr im früheren Verfahren nicht bekannt waren oder die schon damals geltend zu machen für sie rechtlich oder tatsächlich unmöglich war oder keine Veranlassung bestand ( BGE 138 I 61 E. 4.3 S. 72 f.; 136 II 177 E. 2.1 S. 181; 124 II 1 E. 3a S. 6; je mit Hinweisen). Die Beschwerdeführerin hat dabei im Einzelnen darzulegen, inwiefern die neuen Umstände zu einer anderen Beurteilung führen müssen ( BGE 136 II 177 E. 2.2.1 S. 181 f.). Auch aus dem kantonalen Verwaltungsrechtspflegegesetz ergibt sich, dass bei Vorliegen eines Rechtsmittelentscheids die Wiedererwägung nur zulässig ist, sofern sich der dem rechtskräftigen Entscheid zugrunde liegende Sachverhalt oder die Rechtslage erheblich und entscheidrelevant geändert hat (§ 39 Abs. 2 des Gesetzes über die Verwaltungsrechtspflege des Kantons Aargau [VRPG; SAR 271.200]).</w:t>
      </w:r>
    </w:p>
    <w:p>
      <w:r>
        <w:rPr>
          <w:b/>
        </w:rPr>
        <w:t>E. 4.2</w:t>
      </w:r>
    </w:p>
    <w:p>
      <w:r>
        <w:t>Im vorgenannten Urteil 1C_347/2017 wurde in E. 5.3 und 5.4 festgehalten, die Zonenwidrigkeit der Pferdehaltung der Beschwerdeführerin sei durch die Aufgabe der landwirtschaftlichen Tätigkeit und nicht durch die nachträgliche Änderung von Erlassen entstanden. Die Beschwerdeführerin könne sich somit nicht auf die gewerbliche Bestandesgarantie gemäss Art. 37a RPG (SR 700) in Verbindung mit Art. 43 RPV (SR 700.1) berufen.</w:t>
      </w:r>
    </w:p>
    <w:p>
      <w:r>
        <w:rPr>
          <w:b/>
        </w:rPr>
        <w:t>E. 4.3</w:t>
      </w:r>
    </w:p>
    <w:p>
      <w:r>
        <w:t>Am 16. Juni 2017 wurde der Betrieb xxx der Beschwerdeführerin vom kantonalen Departement Finanzen und Ressourcen, Landwirtschaft Aargau, als landwirtschaftlicher Betrieb im Sinne von Art. 6 der Verordnung über landwirtschaftliche Begriffe und die Anerkennung von Betriebsformen (LBV; SR 910.91) anerkannt. Dabei wurden bei den Betriebsdaten 2017 Pferde mit 8.5 Grossvieheinheiten (GVE; vgl. Art. 27 Abs. 1 LBV ) angegeben, und zwar mit der Fussnote "effektiv gehaltene und deklarierte Tiere gemäss Betriebsstrukturdatenerhebung 2017, unabhängig von einer Haltungsbeschränkung gemäss laufendem Baurechtsverfahren".</w:t>
      </w:r>
    </w:p>
    <w:p>
      <w:r>
        <w:rPr>
          <w:b/>
        </w:rPr>
        <w:t>E. 4.4</w:t>
      </w:r>
    </w:p>
    <w:p>
      <w:r>
        <w:t>Die Beschwerdeführerin will ihr erneutes Baugesuch vom 18. August 2017 darauf abstellen, dass ihr Betrieb gemäss der Landwirtschaft Aargau einen landwirtschaftlichen Betrieb darstelle. Tatsächlich hat sich jedoch gegenüber dem Zustand im Zeitpunkt des nachträglichen Baugesuchs vom 17. Mai 2015 nichts geändert. Vielmehr hat die Beschwerdeführerin die Anerkennung eines landwirtschaftlichen Betriebes nur erhalten, weil dabei die gar nicht zulässige Haltung von mehr als vier Pferden berücksichtigt wurde.</w:t>
      </w:r>
    </w:p>
    <w:p>
      <w:r>
        <w:rPr>
          <w:b/>
        </w:rPr>
        <w:t>E. 4.5</w:t>
      </w:r>
    </w:p>
    <w:p>
      <w:r>
        <w:t>Wie die Vorinstanz im angefochtenen Urteil eingehend dargelegt hat, erreicht die Beschwerdeführerin mit ihrem Betrieb nicht die in Art. 29a LBV verlangte Zahl von 0,20 Standardarbeitskraft (SAK, Art. 3 LBV ). Die Beschwerdeführerin stellt die von der Vorinstanz vorgenommene Berechnung nicht in Frage. Für vier zulässig gehaltene Pferde können maximal 0.0756 SAK resultieren (4 Tiere der Pferdegattung ergeben maximal 2,8 GVE [LBV Anhang "Faktoren für die Umrechnung des Tierbestandes in Grossvieheinheiten"] multipliziert mit 0.027 SAK pro GVE laut Art. 3 Abs. 2 LBV ). Damit können, zusammen mit den von der Vorinstanz ermittelten Werten ohne Berücksichtigung der Pferdehaltung von 0.11002 SAK (2017) respektive 0.11402 SAK (2018), 0.2 SAK nicht erreicht werden. Bei diesem Ergebnis kann auch die Frage offen gelassen werden, ob die hobbymässige Haltung von vier Pferden, welche die Vorinstanz der Beschwerdeführerin mit ihrem Urteil vom 5. Mai 2017 in Anwendung von Art. 42b Abs. 3 RPV und der Wegleitung des Bundesamts für Raumentwicklung (ARE), Pferd und Raumplanung, zugestanden hat - was mit dem vorgenannten Urteil 1C_347/2017 in E. 4.4.1 als sachgerecht erachtet wurde -, in die Berechnung miteinzubeziehen sei oder nicht.</w:t>
      </w:r>
    </w:p>
    <w:p>
      <w:r>
        <w:rPr>
          <w:b/>
        </w:rPr>
        <w:t>E. 5</w:t>
      </w:r>
    </w:p>
    <w:p>
      <w:r>
        <w:t>Soweit die Beschwerdeführerin geltend macht, ihr Betrieb habe stets unter ihren Eltern und nachher auch in Fortführung des Betriebes durch sie einen landwirtschaftlichen Betrieb dargestellt, handelt es sich nicht um neue Tatsachen, die im Rahmen des erneuten Baubewilligungsverfahrens neu zu beurteilen wären. Vielmehr übt die Beschwerdeführerin damit Kritik an dem mit Urteil 1C_347/2017 vom 23. März 2018 abgeschlossenen Verfahren, über die nicht zu befinden ist. Aus diesen Gründen ist auch den diesbezüglichen Beweisanträgen nicht stattzugeben.</w:t>
      </w:r>
    </w:p>
    <w:p>
      <w:r>
        <w:rPr>
          <w:b/>
        </w:rPr>
        <w:t>E. 6</w:t>
      </w:r>
    </w:p>
    <w:p>
      <w:r>
        <w:t>Die Beschwerde erweist sich als unbegründet und ist abzuweisen, soweit darauf eingetreten werden kann.</w:t>
      </w:r>
    </w:p>
    <w:p>
      <w:r>
        <w:rPr>
          <w:b/>
        </w:rPr>
        <w:t>E. 7</w:t>
      </w:r>
    </w:p>
    <w:p>
      <w:r>
        <w:t>Bei diesem Verfahrensausgang wird die Beschwerdeführerin kostenpflichtig ( Art. 66 Abs. 1, Art. 65 BGG ).</w:t>
      </w:r>
    </w:p>
    <w:p>
      <w:r>
        <w:t>Angesichts der Aussichtslosigkeit des Verfahrens ist dem Gesuch um unentgeltliche Rechtspflege nicht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