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1C_185/2016 vom 6. Juli 2016</w:t>
      </w:r>
    </w:p>
    <w:p>
      <w:r>
        <w:t>Bundesgericht, 2016-07-06, DE</w:t>
      </w:r>
    </w:p>
    <w:p>
      <w:r>
        <w:rPr>
          <w:b/>
        </w:rPr>
        <w:t xml:space="preserve">Quelle: </w:t>
      </w:r>
      <w:r>
        <w:t>https://mcp.opencaselaw.ch/entscheid/bger_1C_185_2016</w:t>
      </w:r>
    </w:p>
    <w:p>
      <w:r>
        <w:t>FR: TF 1C_185/2016 du 6 juillet 2016</w:t>
      </w:r>
    </w:p>
    <w:p>
      <w:r>
        <w:t>IT: TF 1C_185/2016 del 6 luglio 2016</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Der Beschwerdeführer ist als vom Wasserbauprojekt betroffener Grundeigentümer zur Beschwerde legitimiert ( Art. 89 Abs. 1 BGG ). Auf die rechtzeitig erhobene Beschwerde ( Art. 100 Abs. 1 BGG ) ist daher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Der Beschwerdeführer rügt zunächst, das Hochwasserschutzprojekt sei zu Unrecht nicht mit der Restwassersanierung des Dorfbachs koordiniert worden. Rund 200 m bachaufwärts befinde sich die Wasserentnahmestelle eines Kleinwasserkraftwerks (sogannter Tirolerrechen); diese führe dazu, dass der Bach wochenlang trockenfalle, weshalb ein dringender Sanierungsbedarf bestehe. Es gehe nicht an, am selben Bachlauf ein neues Projekt (Geschiebesammler) zu erstellen, ohne gleichzeitig die notwendige Sanierung vorzunehmen. Im Übrigen könne der Geschiebesammler auch ohne Weiteres an dieser Stelle gebaut werden; dies hätte den Vorteil, dass bereits eine Zufahrtsstrasse vorhanden wäre.</w:t>
      </w:r>
    </w:p>
    <w:p>
      <w:r>
        <w:rPr>
          <w:b/>
        </w:rPr>
        <w:t>E. 2.1</w:t>
      </w:r>
    </w:p>
    <w:p>
      <w:r>
        <w:t>Das Kantonsgericht hat sich im angefochtenen Entscheid ausführlich mit der Standortevaluation befasst, gestützt auf die Projektunterlagen, die Stellungnahme der kantonalen Fachbehörde, der zugezogenen, auf dem Gebiete des Hochwasserschutzes erfahrenen Ingenieur-Unternehmung wie auch den (im ersten bundesgerichtlichen Verfahren eingeholten) Bericht des BAFU vom 20. Juni 2014. Es bestätigte den gewählten Standort und hielt die vom Beschwerdeführer vorgeschlagenen Alternativstandorte als nicht geeignet, insbesondere weil sie deutlich weiter oben in der steilen Tobelstrecke lägen. Der Beschwerdeführer setzt sich nicht mit diesen Erwägungen auseinander und legt nicht dar, inwiefern sie auf einer offensichtlich unrichtigen Tatsachenfeststellung oder einer falschen Rechtsanwendung beruhen würden; dies ist auch nicht ersichtlich.</w:t>
      </w:r>
    </w:p>
    <w:p>
      <w:r>
        <w:rPr>
          <w:b/>
        </w:rPr>
        <w:t>E. 2.2</w:t>
      </w:r>
    </w:p>
    <w:p>
      <w:r>
        <w:t>Die Vorinstanzen und das BAFU haben einen direkten Zusammenhang zwischen dem Hochwasserschutzprojekt und dem ca. 200 m oberhalb gelegenen Kleinwasserkraftwerk (Tirolerwehr) verneint: Es handle sich um zwei verschiedene Projekte; ob eine Restwassersanierung aufgrund der Wasserentnahme des Kleinwasserkraftwerks vorzunehmen sei, sei unabhängig vom geplanten Geschiebesammler zu beantworten.</w:t>
      </w:r>
    </w:p>
    <w:p>
      <w:r>
        <w:rPr>
          <w:b/>
        </w:rPr>
        <w:t>E. 2.2.1</w:t>
      </w:r>
    </w:p>
    <w:p>
      <w:r>
        <w:t>Es ist unbestritten, dass die Hochwassergefahr im Dorfbach Büron vom anfallenden Geschiebe und Holz ausgeht und nicht von der Wassermenge (die sich nach einer Restwassersanierung des Kleinkraftwerks erhöhen könnte). Der Geschiebesammler ist mit einer Schlitzsperre versehen, d.h. es wird kein Wasser aus dem Bach entnommen, sondern das Wasser wird durchgeleitet, weshalb sich die Restwassersituation nicht verändert. Insofern ist davon auszugehen, dass sich die beiden Vorhaben nicht gegenseitig bedingen oder beeinflussen, sondern unabhängig voneinander realisiert werden können.</w:t>
      </w:r>
    </w:p>
    <w:p>
      <w:r>
        <w:rPr>
          <w:b/>
        </w:rPr>
        <w:t>E. 2.2.2</w:t>
      </w:r>
    </w:p>
    <w:p>
      <w:r>
        <w:t>Allerdings sind die Behörden bei Eingriffen in ein Gewässer verpflichtet, nach Möglichkeit bestehende Beeinträchtigungen zu beseitigen und zerstörte Lebensräume lokal wieder herstellen (vgl. insbesondere Art. 37 Abs. 2 lit. a GSchG und Art. 7 Abs. 2 BGF ). Wird - wie im vorliegenden Fall - eine fischereirechtliche Bewilligung erteilt ( Art. 8 BGF ), müssen bereits im Rahmen der Projektierung des technischen Eingriffs Massnahmen vorgesehen werden, um unter Berücksichtigung der natürlichen Gegebenheiten und allfälliger anderer Interessen alle Massnahmen vorzuschreiben, die geeignet sind, günstige Lebensbedingungen für die Wassertiere zu schaffen ( Art. 9 Abs. 1 und Abs. 3 BGF ). Dazu kann auch die Festlegung von Mindestabflussmengen gehören, auch wenn diese nur bei Wasserentnahmen zwingend vorgeschrieben sind (Art. 9 Abs. 1 lit. a Ziff. 1 BGF).</w:t>
      </w:r>
    </w:p>
    <w:p>
      <w:r>
        <w:t>Trifft es zu, dass der Bach unter der Wasserentnahmestelle zeitweilig trocken fällt, so stellt dies eine schwerwiegende Beeinträchtigung der Lebensbedingungen für Wassertiere im Bach dar. Diese wirkt sich auch auf den 200 m tiefer liegenden Bachabschnitt aus, in dem das Wasserbauprojekt geplant ist. Insofern liesse sich die Auffassung vertreten, dass der Kanton Luzern verpflichtet sei, zusammen mit dem Hochwasserprojekt auch die Restwassermengensanierung des Bachs zu prüfen, als Massnahme zur Verbesserung bzw. Wiederherstellung beeinträchtigter und zerstörter Lebensräume.</w:t>
      </w:r>
    </w:p>
    <w:p>
      <w:r>
        <w:t>Allerdings besteht bereits von Gesetzes wegen, unabhängig vom Hochwasserschutzprojekt, eine Verpflichtung zur Sanierung der bestehenden Wasserentnahme, sofern diese den Bach wesentlich beeinflusst ( Art. 80 GSchG ). Diese ist dringlich, da die Sanierungsfrist schon Ende 2012 abgelaufen ist ( Art. 81 GSchG ).</w:t>
      </w:r>
    </w:p>
    <w:p>
      <w:r>
        <w:t>Dringlich ist aber auch das Hochwasserschutzprojekt. Es ist unbestritten, dass Massnahmen zum Rückhalt von Schwemmholz und Geschiebe notwendig sind. Die Realisierung dieser Massnahmen würde sich weiter verzögern, wenn sie mit der Sanierung des Kleinkraftwerks koordiniert werden müssten, ohne dass dies zu einem wesentlichen Gewinn für Gewässer und Umwelt führen würde.</w:t>
      </w:r>
    </w:p>
    <w:p>
      <w:r>
        <w:t>Unter diesen Umständen ist es vertretbar und jedenfalls nicht bundesrechtswidrig, von getrennten Projekten auszugehen, die nicht miteinander koordiniert werden müssen.</w:t>
      </w:r>
    </w:p>
    <w:p>
      <w:r>
        <w:rPr>
          <w:b/>
        </w:rPr>
        <w:t>E. 3</w:t>
      </w:r>
    </w:p>
    <w:p>
      <w:r>
        <w:t>Der Beschwerdeführer beanstandet weiter die vorgesehene Enteignung seines Landes für die Erstellung einer Zufahrtsstrasse zum Geschiebesammler. Er macht geltend, die Zufahrtsstrasse könne auf der gegenüberliegenden Bachseite realisiert werden, auf dem Gelände einer ehemaligen Deponie. Über das Waldgrundstück (Parzelle Nr. 556) führe bereits eine Strasse, die problemlos bis zum Geschiebesammler verlängert werden könne.</w:t>
      </w:r>
    </w:p>
    <w:p>
      <w:r>
        <w:rPr>
          <w:b/>
        </w:rPr>
        <w:t>E. 3.1</w:t>
      </w:r>
    </w:p>
    <w:p>
      <w:r>
        <w:t>Das Kantonsgericht hielt dagegen fest, dass die geplante Zufahrt über das Gelände des Beschwerdeführers sich mit Blick auf das zu überwindende Gefälle (ca. 8 %) einfacher und kostengünstiger realisieren lasse als der Vorschlag des Beschwerdeführers (ca. 20 % Gefälle); Hangsicherungsmassnahmen seien für die Werkstrasse weder geplant noch erforderlich. Die vom Beschwerdeführer vorgeschlagene Zufahrtsalternative würde das zweimalige Überfahren einer älteren Brücke erforderlich machen, deren Bausubstanz zu schonen sei. Zudem müsste ein Stichweg durch einen belasteten Standort befahren werden, was sich ebenfalls nachteilig auswirken würde. Eine Erschliessung über das benachbarte Grundstück Nr. 556 wäre zudem länger und würde als Folge dessen eine viel grössere Rodungsfläche beanspruchen. Aufgrund des grösseren Gefälles wäre auch mit höheren Investitions- und Unterhaltskosten zu rechnen.</w:t>
      </w:r>
    </w:p>
    <w:p>
      <w:r>
        <w:t>Der Beschwerdeführer setzt sich mit diesen Erwägungen nicht genügend auseinander. Er behauptet zwar, dass die von ihm favorisierte Strassenführung mit bedeutend weniger Gefälle und weniger Kunstbauten verbunden wäre als die geplante Werkstrasse, zeigt aber nicht auf, inwiefern die Feststellungen des Kantonsgerichts zum Gefälle offensichtlich unrichtig seien ( Art. 105 Abs. 2 BGG ). Insbesondere genügen hierfür die in den Akten liegenden (und im vorliegenden Verfahren nochmals eingereichten) Fotos nicht, auf denen das Gefälle nicht zuverlässig abgeschätzt werden kann.</w:t>
      </w:r>
    </w:p>
    <w:p>
      <w:r>
        <w:rPr>
          <w:b/>
        </w:rPr>
        <w:t>E. 3.2</w:t>
      </w:r>
    </w:p>
    <w:p>
      <w:r>
        <w:t>Als weiteren Vorteil seiner Variante hebt der Beschwerdeführer hervor, dass damit eine Altlast saniert werden könnte, was im öffentlichen Interesse liege. Das Kantonsgericht ging jedoch - zusammen mit der kantonalen Fachstelle und dem BAFU - davon aus, dass es sich nur um einen belasteten, nicht aber sanierungsbedürftigen Standort im Sinne von Art. 32c Abs. 1 USG handle, d.h. von der ehemaligen Deponie keine konkrete Gefahr schädlicher oder lästiger Einwirkungen ausgehe. Dies wird vom Beschwerdeführer nicht substanziiert in Frage gestellt. Besteht somit zurzeit keine Verpflichtung, das belastete Material zu beseitigen, ist kein überwiegendes öffentliches Interesse daran erkennbar, die Zufahrtsstrasse auf dem Deponiekörper zu erstellen, um gleichzeitig das belastete Material (mit entsprechendem Kostenaufwand) zu entsorgen.</w:t>
      </w:r>
    </w:p>
    <w:p>
      <w:r>
        <w:rPr>
          <w:b/>
        </w:rPr>
        <w:t>E. 4</w:t>
      </w:r>
    </w:p>
    <w:p>
      <w:r>
        <w:t>Nach dem Gesagten ist die Beschwerde abzuweisen. Bei diesem Ausgang des Verfahrens wird der Beschwerdeführer kostenpflichtig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