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184/2023 vom 19. Juni 2023</w:t>
      </w:r>
    </w:p>
    <w:p>
      <w:r>
        <w:t>Bundesgericht, 2023-06-19, DE</w:t>
      </w:r>
    </w:p>
    <w:p>
      <w:r>
        <w:rPr>
          <w:b/>
        </w:rPr>
        <w:t xml:space="preserve">Quelle: </w:t>
      </w:r>
      <w:r>
        <w:t>https://mcp.opencaselaw.ch/entscheid/bger_1C_184_2023</w:t>
      </w:r>
    </w:p>
    <w:p>
      <w:r>
        <w:t>FR: TF 1C 184/2023 du 19 juin 2023</w:t>
      </w:r>
    </w:p>
    <w:p>
      <w:r>
        <w:t>IT: TF 1C 184/2023 del 19 giugno 2023</w:t>
      </w:r>
    </w:p>
    <w:p>
      <w:pPr>
        <w:pStyle w:val="Heading2"/>
      </w:pPr>
      <w:r>
        <w:t>Regeste</w:t>
      </w:r>
    </w:p>
    <w:p>
      <w:r>
        <w:t>Wiederherstellung der aufschiebenden Wirkung | Raumplanung und öffentliches Baurecht</w:t>
      </w:r>
    </w:p>
    <w:p>
      <w:pPr>
        <w:pStyle w:val="Heading2"/>
      </w:pPr>
      <w:r>
        <w:t>Erwägungen</w:t>
      </w:r>
    </w:p>
    <w:p>
      <w:r>
        <w:rPr>
          <w:b/>
        </w:rPr>
        <w:t>E. 1.1</w:t>
      </w:r>
    </w:p>
    <w:p>
      <w:r>
        <w:t>Die angefochtene Verfügung des Verwaltungsgerichts ist kantonal letztinstanzlich ( Art. 86 Abs. 1 lit. d BGG ) und betrifft eine Angelegenheit des öffentlichen Rechts ( Art. 82 lit. a BGG ). Sie stellt einen Zwischenentscheid im Sinne von Art. 93 BGG dar, gegen den die Beschwerde nur dann zulässig ist,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Hier fällt nur die erste Variante in Betracht.</w:t>
      </w:r>
    </w:p>
    <w:p>
      <w:r>
        <w:rPr>
          <w:b/>
        </w:rPr>
        <w:t>E. 1.2</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148 IV 155 E. 1.1 mit Hinweisen; 142 V 26 E. 1.2).</w:t>
      </w:r>
    </w:p>
    <w:p>
      <w:r>
        <w:rPr>
          <w:b/>
        </w:rPr>
        <w:t>E. 1.3</w:t>
      </w:r>
    </w:p>
    <w:p>
      <w:r>
        <w:t>Die Beschwerdeführenden sehen den ihnen drohenden Nachteil darin, dass ihnen die Nutzung an der Bauparzelle, die zurzeit als Quartierfreiraum (auch "Stadtgarten" genannt) diene, entzogen werde. Dieser Nachteil ist indessen nicht rechtlicher, sondern tatsächlicher Natur. Sie behaupten denn auch nicht, einen Rechtsanspruch auf die von ihnen geltend gemachte Nutzung zu besitzen. Auch die in anderem Zusammenhang pauschal geltend gemachten Interessen an Ruhe, Aussicht und Wohnqualität begründen keinen rechtlichen Nachteil im Sinne von Art. 93 Abs. 1 lit. a BGG (vgl. zur Publikation bestimmtes Urteil 1C_648/2022 vom 10. Mai 2023 E. 1.2.2).</w:t>
      </w:r>
    </w:p>
    <w:p>
      <w:r>
        <w:rPr>
          <w:b/>
        </w:rPr>
        <w:t>E. 2</w:t>
      </w:r>
    </w:p>
    <w:p>
      <w:r>
        <w:t>Auf die Beschwerde kann deshalb nicht eingetreten werden. Da dies offensichtlich ist, ist der Einzelrichter zum Entscheid befugt und beschränkt sich dessen Begründung auf eine kurze Angabe des Unzulässigkeitsgrundes ( Art. 108 Abs. 1 lit. b und Abs. 3 BGG ). Bei diesem Ausgang des Verfahrens tragen die Beschwerdeführenden die Gerichtskosten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