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1C_184/2020 vom 9. Juli 2020</w:t>
      </w:r>
    </w:p>
    <w:p>
      <w:r>
        <w:t>Bundesgericht, 2020-07-09, DE</w:t>
      </w:r>
    </w:p>
    <w:p>
      <w:r>
        <w:rPr>
          <w:b/>
        </w:rPr>
        <w:t xml:space="preserve">Quelle: </w:t>
      </w:r>
      <w:r>
        <w:t>https://mcp.opencaselaw.ch/entscheid/bger_1C_184_2020</w:t>
      </w:r>
    </w:p>
    <w:p>
      <w:r>
        <w:t>FR: TF 1C_184/2020 du 9 juillet 2020</w:t>
      </w:r>
    </w:p>
    <w:p>
      <w:r>
        <w:t>IT: TF 1C_184/2020 del 9 luglio 2020</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Mit Beschwerde in öffentlich-rechtlichen Angelegenheiten kann unter anderem die Verletzung von Bundesrecht gerügt werden ( Art. 95 lit. a BGG ). Das Bundesgericht wendet das Recht von Amtes wegen an ( Art. 106 Abs. 1 BGG ). Unter Berücksichtigung der allgemeinen Begründungspflicht der Beschwerde ( Art. 42 Abs. 1 und 2 BGG ) prüft es grundsätzlich nur die geltend gemachten Rügen, es sei denn, die rechtlichen Mängel lägen geradezu auf der Hand. Die Verletzung von Grundrechten (einschliesslich die willkürliche Anwendung von kantonalem Recht) prüft es dagegen lediglich insoweit, als eine entsprechende Rüge in der Beschwerde vorgebracht und ausreichend begründet worden ist (vgl. Art. 106 Abs. 2 BGG ; BGE 142 I 99 E. 1.7.2 und 1.7.2 S. 106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einen viermonatige Warnungsentzug des Führerscheins bestätigt hat.</w:t>
      </w:r>
    </w:p>
    <w:p>
      <w:r>
        <w:rPr>
          <w:b/>
        </w:rPr>
        <w:t>E. 3.1</w:t>
      </w:r>
    </w:p>
    <w:p>
      <w:r>
        <w:t>Nach Widerhandlungen gegen die Strassenverkehrsvorschriften, bei denen das Verfahren nach dem Ordnungsbussengesetz vom 24. Juni 1970 ausgeschlossen ist, wird gemäss Art. 16 Abs. 2 SVG der Führerausweis entzogen oder eine Verwarnung ausgesprochen. Das Gesetz unterscheidet in diesem Zusammenhang zwischen der leichten, mittelschweren und schweren Widerhandlung ( Art. 16a-c SVG ).</w:t>
      </w:r>
    </w:p>
    <w:p>
      <w:r>
        <w:rPr>
          <w:b/>
        </w:rPr>
        <w:t>E. 3.1.1</w:t>
      </w:r>
    </w:p>
    <w:p>
      <w:r>
        <w:t>Gemäss Art. 16a SVG begeht eine leichte Widerhandlung, wer durch Verletzung von Verkehrsregeln eine geringe Gefahr für die Sicherheit anderer hervorruft, sofern ihn dabei nur ein leichtes Verschulden trifft ( Art. 16a Abs. 1 lit. a SVG ). In besonders leichten Fällen wird auf jegliche Massnahme verzichtet ( Art. 16a Abs. 4 SVG ).</w:t>
      </w:r>
    </w:p>
    <w:p>
      <w:r>
        <w:rPr>
          <w:b/>
        </w:rPr>
        <w:t>E. 3.1.2</w:t>
      </w:r>
    </w:p>
    <w:p>
      <w:r>
        <w:t>Eine schwere Widerhandlung begeht insbesondere, wer durch grobe Verletzung von Verkehrsregeln eine ernstliche Gefahr für die Sicherheit anderer hervorruft oder in Kauf nimmt ( Art. 16c Abs. 1 lit. a SVG ); nach einer schweren Widerhandlung wird der Führerausweis für mindestens drei Monate entzogen ( Art. 16c Abs. 2 lit. a SVG ).</w:t>
      </w:r>
    </w:p>
    <w:p>
      <w:r>
        <w:rPr>
          <w:b/>
        </w:rPr>
        <w:t>E. 3.1.3</w:t>
      </w:r>
    </w:p>
    <w:p>
      <w:r>
        <w:t>Eine mittelschwere Widerhandlung begeht, wer durch Verletzung von Verkehrsregeln eine Gefahr für die Sicherheit anderer hervorruft oder in Kauf nimmt ( Art. 16b Abs. 1 lit. a SVG ). Nach einer mittelschweren Widerhandlung wird der Führerausweis für mindestens einen Monat entzogen ( Art. 16b Abs. 2 lit. a SVG ); wenn in den vorangegangenen zwei Jahren der Ausweis einmal wegen einer schweren oder mittelschweren Widerhandlung entzogen war, beträgt die mindeste Entzugsdauer vier Monate ( Art. 16b Abs. 2 lit. b SVG ).</w:t>
      </w:r>
    </w:p>
    <w:p>
      <w:r>
        <w:rPr>
          <w:b/>
        </w:rPr>
        <w:t>E. 3.1.4</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(vgl. zum Ganzen: BGE 136 II 447 E. 3.2 S. 452; Urteil 1C_453/2018 vom 22. August 2019 E. 3.1; je mit Hinweisen). Gleiches gilt bei einer mittelgrossen Gefährdung und einem mittelschweren oder schweren Verschulden (vgl. Urteil 1C_334/2019 vom 11. Februar 2020 E. 3.1).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(Urteil 1C_421/2019 vom 20. Dezember 2019 E. 2.1 mit Hinweis).</w:t>
      </w:r>
    </w:p>
    <w:p>
      <w:r>
        <w:rPr>
          <w:b/>
        </w:rPr>
        <w:t>E. 3.2</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(vgl. BGE 139 II 95 E. 3.2 S. 101 f. mit Hinweisen). In der rechtlichen Würdigung des Sachverhalts - namentlich auch des Verschuldens - ist die Verwaltungsbehörde demgegenüber frei, ausser die rechtliche Qualifikation hängt stark von der Würdigung von Tatsachen ab, die der Strafrichter besser kennt, etwa weil er die beschuldigte Person persönlich einvernommen hat. Auch in diesem Zusammenhang hat sie jedoch den eingangs genannten Grundsatz, widersprüchliche Urteile zu vermeiden, gebührend zu berücksichtigen (vgl. BGE 136 II 447 E. 3.1 S. 451; Urteil 1C_421/2019 vom 20. Dezember 2019 E. 3.1; je mit Hinweisen).</w:t>
      </w:r>
    </w:p>
    <w:p>
      <w:r>
        <w:rPr>
          <w:b/>
        </w:rPr>
        <w:t>E. 3.3</w:t>
      </w:r>
    </w:p>
    <w:p>
      <w:r>
        <w:t>Bei der Festsetzung der Dauer des Entzugs sind gemäss Art. 16 Abs. 3 Satz 1 SVG die Umstände des Einzelfalls zu berücksichtigen, namentlich die Gefährdung der Verkehrssicherheit, das Verschulden, der Leumund als Motorfahrzeugführer sowie die berufliche Notwendigkeit, ein Motorfahrzeug zu führen. Die Mindestentzugsdauer darf jedoch, von der hier nicht interessierenden Ausnahme für Vorfälle auf Dienstfahrten gemäss Art. 100 Ziff. 4 SVG abgesehen, nicht unterschritten werden ( Art. 16 Abs. 3 Satz 2 SVG ).</w:t>
      </w:r>
    </w:p>
    <w:p>
      <w:r>
        <w:rPr>
          <w:b/>
        </w:rPr>
        <w:t>E. 4.1</w:t>
      </w:r>
    </w:p>
    <w:p>
      <w:r>
        <w:t>Vorinstanz und Verwaltung qualifizierten das Verhalten des Beschwerdeführers beim Motorradsturz am 14. Oktober 2018 als mittel-schwere Widerhandlung gegen das Strassenverkehrsgesetz ( Art. 16b Abs. 1 lit. a SVG ). Demgegenüber rügt der Beschwerdeführer unter Berufung auf das Urteil 1C_382/2011 vom 12. Dezember 2011, es rechtfertige sich lediglich eine Qualifikation als leichte Widerhandlung im Sinne von Art. 16a Abs. 1 lit. a SVG . Zu Recht unbestritten ist, dass sich beide Qualifikationen ohne Weiteres mit seiner Verurteilung wegen einfacher Verkehrsregelverletzung im Sinne von Art. 90 Abs. 1 SVG vereinbaren lassen, werden doch von dieser Strafnorm sowohl leichte als auch mittelschwere Widerhandlungen gegen das SVG erfasst (vgl. BGE 135 II 138 E. 2.4 S. 143 f. mit Hinweisen).</w:t>
      </w:r>
    </w:p>
    <w:p>
      <w:r>
        <w:rPr>
          <w:b/>
        </w:rPr>
        <w:t>E. 4.2</w:t>
      </w:r>
    </w:p>
    <w:p>
      <w:r>
        <w:t>Die Qualifikation der Schwere einer Verkehrsregelverletzung hängt neben dem Verschulden des Fahrzeuglenkers namentlich davon ab, wie stark er andere durch diese Verletzung abstrakt oder konkret gefährdet (vgl. E. 3.1 hievor). Das kantonale Gericht erwog, der Beschwerdeführer habe durch die Verkehrsregelverletzung die Sicherheit seiner Beifahrerin konkret gefährdet; der zu beurteilende Sachverhalt unterscheide sich in diesem Punkt wesentlich von jenem, welchem dem vom Beschwerdeführer angerufenen Urteil 1C_382/2011 vom 12. Dezember 2011 zu Grunde lag. Entgegen der Ausführungen des Beschwerdeführers verstösst der Einbezug der Gefährdung der Beifahrerin in die vorinstanzliche Würdigung nicht gegen Bundesrecht. Insbesondere ist nicht nachvollziehbar, weshalb es nicht angängig sein sollte, das Nichtbeherrschen eines Motorrads regelmässig als mittelschwere Widerhandlung zu qualifizieren, sobald ein Beifahrer involviert ist. Vielmehr erscheint eine strengere Beurteilung des Verhaltens von Motorradlenkern, die mit einem Beifahrer unterwegs sind, als Ausfluss der erhöhten Verantwortung, welche ein Fahrzeuglenker übernimmt, indem er einen Beifahrer transportiert. Ebenfalls nicht bundesrechtswidrig ist die Erwägung der Vorinstanz, wonach es für die Beurteilung der Schwere der Verkehrsregelverletzung unerheblich ist, ob sich die durch den Kontrollverlust geschaffene Gefahr in einem Personenschaden realisierte. Der Beschwerdeführer räumt selber ein, dass einem Motorradsturz bereits bei wesentlich geringerer als der von ihm gefahrenen Geschwindigkeit (gemäss eigenen Angaben: 70 km/h) die Gefahr schwerer Verletzungen eigen ist. Beim Sturz hat er seine Beifahrerin in mehr als bloss geringem Masse konkret gefährdet, so dass die Qualifikation der Regelverletzung als mittelschwere Verletzung nicht zu beanstanden ist.</w:t>
      </w:r>
    </w:p>
    <w:p>
      <w:r>
        <w:rPr>
          <w:b/>
        </w:rPr>
        <w:t>E. 4.3</w:t>
      </w:r>
    </w:p>
    <w:p>
      <w:r>
        <w:t>Da dem Beschwerdeführer in den zwei dem Unfall vorangegangenen Jahren der Führerausweis bereits wegen einer schweren Widerhandlung entzogen war, beträgt die Mindestdauer für einen erneuten Entzug wegen einer mittelschweren Widerhandlung vier Monate ( Art. 16b Abs. 2 lit. b SVG ; vgl. E. 3.1.3). Die von Vorinstanz und Verwaltung auf das gesetzliche Minimum festgesetzte Entzugsdauer erweist sich demnach auch unter Berücksichtigung der vom Motorradlenker geltend gemachten besonderen Massnahmeempfindlichkeit als bundesrechtskonform. Entsprechend ist seine Beschwerde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