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184/2011 vom 31. Oktober 2011</w:t>
      </w:r>
    </w:p>
    <w:p>
      <w:r>
        <w:t>Bundesgericht, 2011-10-31, DE</w:t>
      </w:r>
    </w:p>
    <w:p>
      <w:r>
        <w:rPr>
          <w:b/>
        </w:rPr>
        <w:t xml:space="preserve">Quelle: </w:t>
      </w:r>
      <w:r>
        <w:t>https://mcp.opencaselaw.ch/entscheid/bger_1C_184_2011</w:t>
      </w:r>
    </w:p>
    <w:p>
      <w:r>
        <w:t>FR: TF 1C 184/2011 du 31 octobre 2011</w:t>
      </w:r>
    </w:p>
    <w:p>
      <w:r>
        <w:t>IT: TF 1C 184/2011 del 31 ottobre 2011</w:t>
      </w:r>
    </w:p>
    <w:p>
      <w:pPr>
        <w:pStyle w:val="Heading2"/>
      </w:pPr>
      <w:r>
        <w:t>Regeste</w:t>
      </w:r>
    </w:p>
    <w:p>
      <w:r>
        <w:t>Warnungsentzug des Führerausweises | Strassenbau und Strassenverkehr</w:t>
      </w:r>
    </w:p>
    <w:p>
      <w:pPr>
        <w:pStyle w:val="Heading2"/>
      </w:pPr>
      <w:r>
        <w:t>Erwägungen</w:t>
      </w:r>
    </w:p>
    <w:p>
      <w:r>
        <w:rPr>
          <w:b/>
        </w:rPr>
        <w:t>E. 1</w:t>
      </w:r>
    </w:p>
    <w:p>
      <w:r>
        <w:t>Die Polizei Basel-Landschaft ist zur Beschwerde legitimiert ( Art. 89 Abs. 2 lit. d BGG i.V.m. Art. 24 Abs. 2 lit. a SVG ). Der Rückweisungsentscheid des Kantonsgerichts verpflichtet die Polizei Basel-Landschaft, eine ihr rechtswidrig erscheinende Verfügung zu treffen. Die Beschwerde ist deshalb gemäss Art. 93 Abs. 1 lit. a BGG zulässig ( BGE 137 IV 87 E. 3.3.2 S. 92; 133 V 477 E. 5.2.4 S. 484 f. ; 129 I 313 E. 3.3 S. 318; je mit Hinweisen; Urteil 1C_230/2009 vom 9. März 2010 E. 1). Die übrigen Sachurteilsvoraussetzungen geben zu keinen Bemerkungen Anlass. Auf die Beschwerde ist einzutreten.</w:t>
      </w:r>
    </w:p>
    <w:p>
      <w:r>
        <w:rPr>
          <w:b/>
        </w:rPr>
        <w:t>E. 2.1</w:t>
      </w:r>
    </w:p>
    <w:p>
      <w:r>
        <w:t>Die Beschwerdeführerin ist der Ansicht, das Verhalten des Beschwerdegegners stelle eine mittelschwere Widerhandlung im Sinne von Art. 16b Abs. 1 lit. a SVG dar. Dies treffe schon auf den ersten Teil der Autobahnauffahrt zu, wo die Höchstgeschwindigkeit 60 km/h betrage. Niemand müsse damit rechnen, dass ihm ein Fahrzeuglenker dort rückwärts fahrend entgegenkomme. Dasselbe gelte für den zweiten Teil der Autobahnauffahrt, wo die Höchstgeschwindigkeit 120 km/h betrage. Es sei bekannt, dass hier stark beschleunigt werde und zwar nicht erst ab dem Autobahnsignal. Entgegen den vorinstanzlichen Sachverhaltsfeststellungen müsse zudem davon ausgegangen werden, dass in der Rechtskurve, welche am Strassenrand mit Buschwerk versehen sei, nur eine eingeschränkte Sicht auf Fahrzeuge auf dem Pannenstreifen bestehe. Dies sei zwar anlässlich des vom Kantonsgericht durchgeführten Augenscheins festgestellt worden, habe aber im Urteil keine Berücksichtigung gefunden.</w:t>
      </w:r>
    </w:p>
    <w:p>
      <w:r>
        <w:rPr>
          <w:b/>
        </w:rPr>
        <w:t>E. 2.2</w:t>
      </w:r>
    </w:p>
    <w:p>
      <w:r>
        <w:t>Die Vorinstanz legte dar, anlässlich des Augenscheins habe festgestellt werden können, dass die Autobahneinfahrt, die sich in einer Steigung befinde, eine etwa 90-gradige Rechtskurve beschreibe, wobei beim Scheitelpunkt der Kurve das Verkehrssignal "Autobahn" stehe. Im Bereich vor diesem Signal betrage die Höchstgeschwindigkeit 60 km/h. Vom Kurveneingang, d.h. vom Beginn der Autobahneinfahrt, sei die Sicht zum aufsteigenden Teil der Autobahneinfahrt durch Büsche teilweise beeinträchtigt. Zum Fahrverhalten des Beschwerdegegners führte die Vorinstanz aus, dieser sei auf die Autobahneinfahrt gefahren und als er gesehen habe, dass auf der Autobahn A2 Stau herrschte, sei er auf den Pannenstreifen zur rechten Seite manövriert. In der Folge sei er ca. 100 m rückwärts auf dem Pannenstreifen in Richtung Ortsverbindungsstrasse zurückgefahren und sei auf diese eingebogen. Zu einer konkreten Gefährdung sei es dabei nicht gekommen. Es könne davon ausgegangen werden, dass der Beschwerdeführer das Manöver auf dem Pannenstreifen langsam und äusserst vorsichtig vorgenommen habe. Durch sein Verhalten habe er zwar gegen Art. 43 Abs. 3 SVG i.V.m. Art. 36 Abs. 1 und 3 SVG (recte: i.V.m. Art. 36 Abs. 1 und 3 der Verkehrsregelverordnung vom 13. November 1962 [VRV; SR 741.1]) verstossen, dabei aber nur eine geringe Gefahr im Sinne von Art. 16a Abs. 1 lit. a SVG verursacht. Die Sicht sei zumindest bis zum Autobahnsignal, welches sich am Scheitelpunkt der Kurve befinde, nicht beeinträchtigt. Vom Scheitelpunkt der Kurve aus sei die Sicht zur weiterführenden, sodann ansteigend verlaufenden Autobahneinfahrt durch die Büsche zur rechten Seite in keiner Weise beeinträchtigt. Auch wenn ab diesem Punkt eine Höchstgeschwindigkeit von 120 km/h gelte, könne die Sichtdistanz als ausreichend bezeichnet werden. Aufgrund der konkreten Gegebenheiten könne zudem davon ausgegangen werden, dass ein heranfahrendes Fahrzeug nach Passieren des Autobahnsignals bei Weitem noch nicht die Höchstgeschwindigkeit von 120 km/h erreiche. Im Zeitpunkt des Manövers habe wenig Verkehr geherrscht und die Strassen- und Wetterverhältnisse seien gut gewesen. Schliesslich treffe den Beschwerdeführer nur ein leichtes Verschulden, womit die Voraussetzungen für die Anwendung von Art. 16a Abs. 1 lit. a anstelle von Art. 16b Abs. 1 lit. a SVG erfüllt seien.</w:t>
      </w:r>
    </w:p>
    <w:p>
      <w:r>
        <w:rPr>
          <w:b/>
        </w:rPr>
        <w:t>E. 2.3</w:t>
      </w:r>
    </w:p>
    <w:p>
      <w:r>
        <w:t>In Bezug auf die Sachverhaltsrüge des Beschwerdeführers ( Art. 97 Abs. 1 und Art. 105 Abs. 2 SVG ) ist festzustellen, dass der angefochtene Entscheid widersprüchlich ist. Die Vorinstanz hält zunächst fest, dass die Sicht vom Kurveneingang, d.h. vom Beginn der Autobahneinfahrt, zum aufsteigenden Teil der Autobahneinfahrt durch Büsche teilweise beeinträchtigt sei. Später kommt sie aber für beide Abschnitte (jenen vor dem Autobahnsignal und jenen nach dem Autobahnsignal) zum Schluss, dass die Sicht "nicht beeinträcht" bzw. "in keiner Weise beeinträchtigt" sei. Diese beiden Sachverhaltsfeststellungen scheinen kaum miteinander vereinbar. Wie sich aus den nachfolgenden Erwägungen ergibt, kann jedoch offen bleiben, wie es sich damit verhält; im Ergebnis ändern die betreffenden Feststellungen nichts am Ausgang des Verfahrens (vgl. Art. 97 Abs. 1 a.E. BGG).</w:t>
      </w:r>
    </w:p>
    <w:p>
      <w:r>
        <w:rPr>
          <w:b/>
        </w:rPr>
        <w:t>E. 2.4.1</w:t>
      </w:r>
    </w:p>
    <w:p>
      <w:r>
        <w:t>Auf Autobahnen ist das Rückwärtsfahren untersagt ( Art. 36 Abs. 1 Satz 2 VRV ). Der Fahrzeugführer darf Pannenstreifen nur für Nothalte benützen ( Art. 36 Abs. 3 VRV ). Dass der Beschwerdegegner diese Verkehrsregeln verletzt hat, ist unbestritten.</w:t>
      </w:r>
    </w:p>
    <w:p>
      <w:r>
        <w:rPr>
          <w:b/>
        </w:rPr>
        <w:t>E. 2.4.2</w:t>
      </w:r>
    </w:p>
    <w:p>
      <w:r>
        <w:t>Nach Widerhandlungen gegen Strassenverkehrsvorschriften, bei denen das Verfahren nach dem Ordnungsbussengesetz ausgeschlossen ist, wird der Führerausweis entzogen oder eine Verwarnung ausgesprochen ( Art. 16 Abs. 2 SVG ). Eine leichte Widerhandlung begeht, wer durch Verletzung von Verkehrsregeln eine geringe Gefahr für die Sicherheit anderer hervorruft, sofern ihn dabei nur ein leichtes Verschulden trifft ( Art. 16a Abs. 1 lit. a SVG ). Eine mittelschwere Widerhandlung begeht, wer durch Verletzung von Verkehrsregeln eine Gefahr für die Sicherheit anderer hervorruft oder in Kauf nimmt ( Art. 16b Abs. 1 lit. a SVG ). Die mittelschwere Widerhandlung nach Art. 16b SVG stellt einen Auffangtatbestand dar. Sie liegt vor, wenn nicht alle privilegierenden Elemente einer leichten Widerhandlung nach Art. 16a SVG und nicht alle qualifizierenden Elemente einer schweren Widerhandlung nach Art. 16c SVG gegeben sind. Die Annahme einer leichten Widerhandlung setzt nach der Rechtsprechung voraus, dass kumulativ eine geringe Gefahr und ein leichtes Verschulden vorliegen ( BGE 135 II 138 E. 2.2.2 f. S. 141 mit Hinweisen). Die strafrechtliche Qualifikation einer Verkehrsregelverletzung als einfach im Sinne von Art. 90 Ziff. 1 SVG schliesst die Annahme einer mittelschweren oder schweren Widerhandlung im Administrativverfahren nicht aus (Urteile des Bundesgerichts 1C_224/2010 vom 6. Oktober 2010 E. 4.2; 1C_156/2010 vom 26. Juni 2010 E. 4; je mit Hinweisen). Dass das Bundesgericht in einem ähnlich gelagerten Fall auf eine lediglich einfache Verkehrsregelverletzung im Sinne von Art. 90 Ziff. 1 SVG erkannte (vgl. Urteil 6B_819/2009 vom 14. Januar 2010), ist somit nicht massgebend. Eine Gefahr für die Sicherheit anderer im Sinne von Art. 16a-16c SVG ist bei einer konkreten oder auch bei einer erhöhten abstrakten Gefährdung zu bejahen. Eine erhöhte abstrakte Gefahr besteht, wenn die Möglichkeit einer konkreten Gefährdung oder Verletzung naheliegt (Urteil 1C_3/2008 vom 18. Juli 2008 E. 5.2 mit Hinweisen). Ob eine solche Gefährdung vorliegt, hängt von den jeweiligen Verhältnissen des Einzelfalls ab (Urteil 1C_156/2010 vom 26. Juni 2010 E. 4 mit Hinweisen; vgl. auch BGE 131 IV 133 E. 3.2 S. 136 mit Hinweisen).</w:t>
      </w:r>
    </w:p>
    <w:p>
      <w:r>
        <w:rPr>
          <w:b/>
        </w:rPr>
        <w:t>E. 2.4.3</w:t>
      </w:r>
    </w:p>
    <w:p>
      <w:r>
        <w:t>Nach den Feststellungen der Vorinstanz verursachte der Beschwerdegegner mit seinem Manöver keine konkrete Gefährdung, sondern eine erhöhte abstrakte Gefährdung. Umstritten ist, ob diese erhöhte abstrakte Gefährdung noch als gering bezeichnet werden kann. Im Urteil 6A.64/2006 vom 20. März 2007 hat das Bundesgericht bei einem Lenker, der ca. 60 bis 80 m auf dem Pannenstreifen einer Autobahn rückwärts gefahren war, um eine verpasste Ausfahrt noch befahren zu können, auf eine mittelschwere Widerhandlung erkannt (a.a.O., E. 2.3). Vorliegend ist nicht anders zu entscheiden. Eine Autobahneinfahrt, welche eine etwa 90-gradige Rechtskurve beschreibt, stellt erhöhte Anforderungen an die Fahrer. Die Mehrheit von ihnen erwartet nicht, auf ein auf dem Pannenstreifen entgegenkommendes Fahrzeug zu treffen. Ein derartiges Manöver kann leicht ungeschickte Reaktionen provozieren (vgl. BGE 133 II 58 E. 5.2 S. 61). Das trifft insbesondere im fraglichen Bereich zu, wo gleichzeitig eine Kurve befahren und beschleunigt wird. Dies gilt unabhängig davon, ob auf der Autobahn Stau herrschte und mit wie viel Verkehr auf der Autobahneinfahrt zu rechnen war (vgl. Urteil 1C_3/2008 vom 18. Juli 2008 E. 5.4, wo das Bundesgericht die Behauptung des Beschwerdeführers, zum fraglichen Zeitpunkt seien keine weiteren Fahrzeuge unterwegs gewesen, als unmassgeblich erachtete). Unmassgeblich sind auch die guten Wetter- und Sichtverhältnisse sowie der Umstand, dass der Beschwerdegegner langsam rückwärts gefahren ist. Mithin kann die von ihm geschaffene Gefahr für die Sicherheit anderer nicht mehr als gering eingestuft werden. Es kann offen bleiben, ob es für die Annahme einer leichten Widerhandlung darüber hinaus noch an der zusätzlichen Voraussetzung eines nur leichten Verschuldens mangeln würde.</w:t>
      </w:r>
    </w:p>
    <w:p>
      <w:r>
        <w:rPr>
          <w:b/>
        </w:rPr>
        <w:t>E. 3</w:t>
      </w:r>
    </w:p>
    <w:p>
      <w:r>
        <w:t>Die Beschwerde ist gutzuheissen und der angefochtene Entscheid aufzuheben. Damit wird die Verfügung der Polizei Basel-Landschaft vom 19. Januar 2010 bestätigt, die wegen einem früheren Führerausweisentzug auf die gesetzliche Mindestentzugsdauer von vier Monaten gemäss Art. 16b Abs. 2 lit. b erkannt hatte. Die Polizei Basel-Landschaft wird einen neuen Abgabetermin für den Führerausweis festlegen müssen. Bei diesem Ausgang des Verfahrens sind die Gerichtskosten dem unterliegenden Beschwerdegegner aufzuerlegen ( Art. 66 Abs. 1 BGG ). Es ist keine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