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183/2015 vom 13. April 2015</w:t>
      </w:r>
    </w:p>
    <w:p>
      <w:r>
        <w:t>Bundesgericht, 2015-04-13, DE</w:t>
      </w:r>
    </w:p>
    <w:p>
      <w:r>
        <w:rPr>
          <w:b/>
        </w:rPr>
        <w:t xml:space="preserve">Quelle: </w:t>
      </w:r>
      <w:r>
        <w:t>https://mcp.opencaselaw.ch/entscheid/bger_1C_183_2015</w:t>
      </w:r>
    </w:p>
    <w:p>
      <w:r>
        <w:t>FR: TF 1C 183/2015 du 13 avril 2015</w:t>
      </w:r>
    </w:p>
    <w:p>
      <w:r>
        <w:t>IT: TF 1C 183/2015 del 13 aprile 2015</w:t>
      </w:r>
    </w:p>
    <w:p>
      <w:pPr>
        <w:pStyle w:val="Heading2"/>
      </w:pPr>
      <w:r>
        <w:t>Regeste</w:t>
      </w:r>
    </w:p>
    <w:p>
      <w:r>
        <w:t>Ermächtigung zur Eröffnung einer Strafuntersuchung | Strafprozess</w:t>
      </w:r>
    </w:p>
    <w:p>
      <w:pPr>
        <w:pStyle w:val="Heading2"/>
      </w:pPr>
      <w:r>
        <w:t>Erwägungen</w:t>
      </w:r>
    </w:p>
    <w:p>
      <w:r>
        <w:rPr>
          <w:b/>
        </w:rPr>
        <w:t>E. 1</w:t>
      </w:r>
    </w:p>
    <w:p>
      <w:r>
        <w:t>A.________ erhob am 31. Mai 2014 bei der Staatsanwaltschaft des Kantons Zürich Strafklage gegen die AXA-ARAG Rechtsschutzversicherung insbesondere wegen missbräuchlicher Kündigung einer Rechtsschutz-Versicherungspolice. In der Folge teilte der mit der Sache befasste Staatsanwalt A.________ mit zwei Schreiben u.a. mit, dass seinen Eingaben nicht entnommen werden könne, inwieweit ein strafbares Verhalten von Mitarbeitern der AXA-ARAG Rechtsschutzversicherung vorliegen sollte. Die Kündigung eines Versicherungsvertrages stelle keinen Betrug dar, vielmehr handle es sich dabei um eine zivilrechtliche Angelegenheit. A.________ hielt in seinem Antwortschreiben vom 25. Juli 2014 an seiner Auffassung fest, wonach die Kündigung des Versicherungsvertrages ein klarer Regelverstoss und Beihilfe zum Betrug sei. Die Staatsanwaltschaft ist nach Erhalt dieses Briefes, soweit ersichtlich, nicht mehr tätig geworden.</w:t>
      </w:r>
    </w:p>
    <w:p>
      <w:r>
        <w:rPr>
          <w:b/>
        </w:rPr>
        <w:t>E. 2</w:t>
      </w:r>
    </w:p>
    <w:p>
      <w:r>
        <w:t>Mit Schreiben vom 8. November 2014 und 3. Januar 2015 erhob A.________ Strafanzeige gegen den zuständigen Staatsanwalt wegen der "Nichteröffnung der Anklage" gegen die Rechtsschutzversicherung. Die Leitende Staatsanwältin der Staatsanwaltschaft Zürich-Sihl überwies die Akten mit Verfügung vom 28. Januar 2015 via Oberstaatsanwaltschaft des Kantons Zürich an das Obergericht des Kantons Zürich zum Entscheid über die Ermächtigung zur Durchführung einer Strafuntersuchung. Die III. Strafkammer des Obergerichts des Kantons Zürich erteilte mit Beschluss vom 26. Februar 2015 der Staatsanwaltschaft die Ermächtigung zur Strafverfolgung nicht, da kein Anfangsverdacht gegen den Staatsanwalt vorliege.</w:t>
      </w:r>
    </w:p>
    <w:p>
      <w:r>
        <w:rPr>
          <w:b/>
        </w:rPr>
        <w:t>E. 3</w:t>
      </w:r>
    </w:p>
    <w:p>
      <w:r>
        <w:t>A.________ führt mit Eingabe vom 3. April 2015 (Postaufgabe 4. April 2015) Beschwerde in öffentlich-rechtlichen Angelegenheiten gegen den Beschluss der III. Strafkammer des Obergerichts des Kantons Zürich vom 26. Februar 2015.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seiner Darstellung der eigenen Sicht der Dinge nicht aufzuzeigen, inwiefern die Begründung der III. Strafkammer bzw. deren Beschluss selbst verfassungs- oder rechtswidrig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