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183/2013 vom 21. Juni 2013</w:t>
      </w:r>
    </w:p>
    <w:p>
      <w:r>
        <w:t>Bundesgericht, 2013-06-21, DE</w:t>
      </w:r>
    </w:p>
    <w:p>
      <w:r>
        <w:rPr>
          <w:b/>
        </w:rPr>
        <w:t xml:space="preserve">Quelle: </w:t>
      </w:r>
      <w:r>
        <w:t>https://mcp.opencaselaw.ch/entscheid/bger_1C_183_2013</w:t>
      </w:r>
    </w:p>
    <w:p>
      <w:r>
        <w:t>FR: TF 1C 183/2013 du 21 juin 2013</w:t>
      </w:r>
    </w:p>
    <w:p>
      <w:r>
        <w:t>IT: TF 1C 183/2013 del 21 giugno 2013</w:t>
      </w:r>
    </w:p>
    <w:p>
      <w:pPr>
        <w:pStyle w:val="Heading2"/>
      </w:pPr>
      <w:r>
        <w:t>Regeste</w:t>
      </w:r>
    </w:p>
    <w:p>
      <w:r>
        <w:t>Entzug des Führerausweises für Motorfahrzeuge | Strassenbau und Strassenverkehr</w:t>
      </w:r>
    </w:p>
    <w:p>
      <w:pPr>
        <w:pStyle w:val="Heading2"/>
      </w:pPr>
      <w:r>
        <w:t>Erwägungen</w:t>
      </w:r>
    </w:p>
    <w:p>
      <w:r>
        <w:rPr>
          <w:b/>
        </w:rPr>
        <w:t>E. 1.1</w:t>
      </w:r>
    </w:p>
    <w:p>
      <w:r>
        <w:t>Gemäss Art. 82 lit. a BGG beurteilt das Bundesgericht Beschwerden in Angelegenheiten des öffentlichen Rechts. Dieses Rechtsmittel steht auch gegen Entscheide über administrative Massnahmen im Strassenverkehrsrecht offen. Beim angefochtenen Urteil handelt es sich um einen kantonal letztinstanzlichen Endentscheid der zuständigen Rekurskommission, die von der Verwaltung unabhängig ist und damit gerichtliche Funktionen erfüllt (vgl. Art. 86 Abs. 1 lit. d und Abs. 2 und Art. 90 BGG ; Art. 74 des bernischen Gesetzes vom 11. Juni 2009 über die Organisation der Gerichtsbehörden und der Staatsanwaltschaft, GOG; Urteil des Bundesgerichts 1C_441/2012 vom 4. März 2013 E. 1.1). Der Beschwerdeführer ist als Inhaber des entzogenen Führerausweises und direkter Adressat des angefochtenen Entscheids gemäss Art. 89 Abs. 1 BGG zur Beschwerde legitimiert.</w:t>
      </w:r>
    </w:p>
    <w:p>
      <w:r>
        <w:rPr>
          <w:b/>
        </w:rPr>
        <w:t>E. 1.2</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w:t>
      </w:r>
    </w:p>
    <w:p>
      <w:r>
        <w:rPr>
          <w:b/>
        </w:rPr>
        <w:t>E. 1.3</w:t>
      </w:r>
    </w:p>
    <w:p>
      <w:r>
        <w:t>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2.1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2.2</w:t>
      </w:r>
    </w:p>
    <w:p>
      <w:r>
        <w:t>Im vorliegenden Fall sind die Tatsachen weitgehend unbestritten. Es besteht auch keine Differenz zwischen den Sachverhaltsfeststellungen im Strafbefehl und denjenigen der Vorinstanzen, so dass die entsprechenden Rechtsgrundsätze zur Bindung der Verwaltungsbehörden an die Feststellungen der Strafverfolgungsbehörden (vgl. BGE 124 II 103 E. 1c S. 106 f.; Urteil des Bundesgerichts 1C_441/2012 vom 4. März 2013 E. 3) von vornherein nicht verletzt worden sein können. Der Beschwerdeführer wendet hingegen ein, die Vorinstanzen hätten nicht berücksichtigt, dass er ständig in Bremsbereitschaft gewesen sei, was die Reaktionszeit erheblich verkürze. Der Beschwerdeführer vermag allerdings nicht darzutun, dass insoweit eine qualifiziert mangelhafte Sachverhaltsfeststellung vorliegen würde, wie es nötig wäre, damit das Bundesgericht den von der Vorinstanz als gerichtlicher Instanz erhobenen Sachverhalt ändert oder ergänzt. Im Übrigen würde dieser Umstand am Ausgang des Verfahrens nichts ändern (vgl. E. 4.2).</w:t>
      </w:r>
    </w:p>
    <w:p>
      <w:r>
        <w:rPr>
          <w:b/>
        </w:rPr>
        <w:t>E. 3.1</w:t>
      </w:r>
    </w:p>
    <w:p>
      <w:r>
        <w:t>Das Gesetz unterscheidet im Zusammenhang mit dem administrativen Führerausweisentzug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In besonders leichten Fällen wird auf jegliche Massnahme verzichtet ( Art. 16a Abs. 4 SVG ).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 ist ausgeschlossen ( Art. 16 Abs. 3 SVG ; vgl. das Urteil des Bundesgerichts 1C_424/2012 vom 15. Januar 2013 E. 2.1).</w:t>
      </w:r>
    </w:p>
    <w:p>
      <w:r>
        <w:rPr>
          <w:b/>
        </w:rPr>
        <w:t>E. 3.2</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(vgl. die Urteile des Bundesgerichts 1C_424/2012 vom 15. Januar 2013 E. 2.2 und 1C_452/2011 vom 21. August 2012 E. 3.2; je mit weiteren Hinweisen).</w:t>
      </w:r>
    </w:p>
    <w:p>
      <w:r>
        <w:rPr>
          <w:b/>
        </w:rPr>
        <w:t>E. 3.3</w:t>
      </w:r>
    </w:p>
    <w:p>
      <w:r>
        <w:t>Entgegen der Auffassung des Beschwerdeführers stimmt somit der strafrechtliche Tatbestand der Verkehrsregelverletzung von Art. 90 Ziff. 1 SVG , der dort im Wortlaut übrigens auch nicht als einfacher Gesetzesverstoss bezeichnet wird, nicht mit demjenigen der einfachen Widerhandlung von Art. 16a Abs. 1 SVG überein, der für den administrativen Führerausweisentzug gilt. Straf- und Verwaltungsrecht folgen jeweils einer anderen Systematik und verwenden im Übrigen auch nicht dieselben Begriffe. Während Art. 90 SVG (in der hier noch anwendbaren Fassung vom 19. Dezember 1958 bzw. vom 13. Dezember 2002) die nicht näher bezeichnete normale (oder im Sprachgebrauch einfache) von der groben Verkehrsregelverletzung unterscheidet, kennen die Art. 16 ff. SVG die vier Stufen der besonders leichten, leichten, mittelschweren und schweren Widerhandlung gegen das Gesetz. Nur schon von daher können die Tatbestände nicht deckungsgleich sein.</w:t>
      </w:r>
    </w:p>
    <w:p>
      <w:r>
        <w:rPr>
          <w:b/>
        </w:rPr>
        <w:t>E. 3.4</w:t>
      </w:r>
    </w:p>
    <w:p>
      <w:r>
        <w:t>Eine Gefahr für die Sicherheit anderer im Sinne von Art. 16a - 16c SVG ist bei einer konkreten oder auch bei einer erhöhten abstrakten Gefährdung zu bejahen. Eine erhöhte abstrakte Gefahr besteht, wenn die Möglichkeit einer konkreten Gefährdung oder Verletzung naheliegt. Ob eine solche Gefährdung vorliegt, hängt von den jeweiligen Verhältnissen des Einzelfalls ab (Urteil 1C_452/2011 vom 21. August 2012 E. 3.3 mit Hinweis).</w:t>
      </w:r>
    </w:p>
    <w:p>
      <w:r>
        <w:rPr>
          <w:b/>
        </w:rPr>
        <w:t>E. 4.1</w:t>
      </w:r>
    </w:p>
    <w:p>
      <w:r>
        <w:t>Das Einhalten eines ausreichenden Abstandes beim Hintereinanderfahren wird von Art. 34 Abs. 4 SVG und Art. 12 Abs. 1 VRV vorgeschrieben und ist von grundlegender Bedeutung für die Verkehrssicherheit, bildet doch die Missachtung dieser Regel eine häufige Unfallursache ( BGE 131 IV 133 E. 3.2.1 mit Hinweis). Für die Bestimmung des auch bei günstigen Verhältnissen minimal einzuhaltenden Abstands kann nach der straf- wie verwaltungsrechtlichen Praxis des Bundesgerichts von der Faustregel "halber Tacho" (bzw. 1,8 Sekunden) ausgegangen werden ( BGE 131 IV 133 E. 3.1; Urteile 6B_3/2010 vom 25. Februar 2010 E. 3 und 1C_424/2012 vom 15. Januar 2013 E. 4.1). Keine allgemeinen Grundsätze entwickelt hat die Rechtsprechung zur Frage, bei welchem Abstand auch bei günstigen Umständen objektiv von einer strafrechtlichen groben Verkehrsregelverletzung auszugehen ist. In der Lehre wird etwa ein Abstand von 0.6 Sekunden vorgeschlagen ( BGE 131 IV 133 E. 3.2.2 mit Hinweisen). Im Urteil 1C_424/2012 vom 15. Januar 2013 beurteilte das Bundesgericht einen Abstand von rund 20 bis 25 m bei einem Tempo von rund 100 km/h administrativrechtlich als mittelschwere Widerhandlung gegen das Strassenverkehrsgesetz und ordnete einen entsprechenden Ausweisentzug nach Art. 16b SVG an.</w:t>
      </w:r>
    </w:p>
    <w:p>
      <w:r>
        <w:rPr>
          <w:b/>
        </w:rPr>
        <w:t>E. 4.2</w:t>
      </w:r>
    </w:p>
    <w:p>
      <w:r>
        <w:t>Der Beschwerdeführer fuhr gemäss Aufzeichnung des Verkehrskontrollsystems und dessen Auswertung durch die Polizei auf der Autobahn mit einer Geschwindigkeit von netto 124 km/h und hielt dabei zum vor ihm fahrenden Fahrzeug einen Abstand von maximal 26 m ein, was einem zeitlichen Nachfahrabstand von 0.8 Sekunden entspricht. Mit dem angewendeten Messsystem wird der fliessende Verkehr über eine Distanz von bis zu einem halben Kilometer überwacht. Wie die Vorinstanz verbindlich festgestellt hat, lässt sich aus den Messdaten schliessen, dass der Beschwerdeführer den kurzen Abstand über eine längere Distanz von mehreren hundert Metern bzw. einer entsprechenden Zeitdauer beibehielt und sich dieser mithin nicht bloss kurzzeitig daraus ergeben haben kann, dass sich das vordere Fahrzeug mit zu geringem Abstand vor ihn gesetzt hatte. Der Beschwerdeführer schuf dadurch eine zumindest erhöhte abstrakte Gefährdung des übrigen Verkehrs, die selbst bei trockener Strasse nicht mehr als gering zu bezeichnen ist. Daran würde im Übrigen auch nichts ändern, wenn er, wie er nunmehr behauptet, in ständiger Bremsbereitschaft gewesen wäre, denn auch das hätte angesichts des kurzen Abstandes und des hohen Tempos ein rechtzeitiges erfolgreiches Abbremsen im Bedarfsfall kaum garantieren können.</w:t>
      </w:r>
    </w:p>
    <w:p>
      <w:r>
        <w:rPr>
          <w:b/>
        </w:rPr>
        <w:t>E. 4.3</w:t>
      </w:r>
    </w:p>
    <w:p>
      <w:r>
        <w:t>Der vorliegende Fall ist mit der im Entscheid 1C_424/2012 vom 15. Januar 2013 beurteilten Sachlage durchaus vergleichbar, wobei hier sogar eine um rund 20 km/h höhere Geschwindigkeit bei einem ähnlich grossen Abstand zu berücksichtigen ist. Der Beschwerdeführer ist angesichts der bei ihm höheren Geschwindigkeit nicht schlechter gestellt als der betroffene Fahrzeuglenker im Vergleichsfall. Es ist daher nicht zu beanstanden, wenn die Vorinstanz ebenfalls von einer mittelschweren Widerhandlung ausging. Auch wenn das Verhalten des Beschwerdeführers strafrechtlich lediglich als einfache Verkehrsregelverletzung beurteilt worden ist, liegt es jedenfalls nicht näher beim leichten als beim schweren Gesetzesverstoss. Da der Beschwerdeführer mit der gesetzlich zulässigen Minimalsanktion eines Entzugs für die Dauer eines Monats gemäss Art. 16b Abs. 2 lit. a SVG belegt wurde, kann er aus dem Grundsatz der Verhältnismässigkeit bzw. aus dem Argument, beruflich auf den Führerausweis angewiesen zu sein, nichts zu seinen Gunsten ableiten. Diesem Umstand wird allenfalls bei der Festlegung des konkreten Entzugstermins Rechnung getragen werden können.</w:t>
      </w:r>
    </w:p>
    <w:p>
      <w:r>
        <w:rPr>
          <w:b/>
        </w:rPr>
        <w:t>E. 4.4</w:t>
      </w:r>
    </w:p>
    <w:p>
      <w:r>
        <w:t>Der angefochtene Entscheid verstösst demnach nicht gegen Bundesrecht.</w:t>
      </w:r>
    </w:p>
    <w:p>
      <w:r>
        <w:rPr>
          <w:b/>
        </w:rPr>
        <w:t>E. 5</w:t>
      </w:r>
    </w:p>
    <w:p>
      <w:r>
        <w:t>Die Beschwerde erweist sich als unbegründet und ist abzuweisen.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