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182/2021 vom 11. November 2021</w:t>
      </w:r>
    </w:p>
    <w:p>
      <w:r>
        <w:t>Bundesgericht, 2021-11-11, DE</w:t>
      </w:r>
    </w:p>
    <w:p>
      <w:r>
        <w:rPr>
          <w:b/>
        </w:rPr>
        <w:t xml:space="preserve">Quelle: </w:t>
      </w:r>
      <w:r>
        <w:t>https://mcp.opencaselaw.ch/entscheid/bger_1C_182_2021</w:t>
      </w:r>
    </w:p>
    <w:p>
      <w:r>
        <w:t>FR: TF 1C 182/2021 du 11 novembre 2021</w:t>
      </w:r>
    </w:p>
    <w:p>
      <w:r>
        <w:t>IT: TF 1C 182/2021 del 11 novembre 2021</w:t>
      </w:r>
    </w:p>
    <w:p>
      <w:pPr>
        <w:pStyle w:val="Heading2"/>
      </w:pPr>
      <w:r>
        <w:t>Regeste</w:t>
      </w:r>
    </w:p>
    <w:p>
      <w:r>
        <w:t>Ermächtigungsverfahren | Strafprozess</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Beschwerdegegner fallen nicht in diese Kategorie. Der Beschwerdeführer hat am Verfahren vor der Vorinstanz teilgenommen. Inwiefern er von den behaupteten Straftatbeständen potenziell direkt betroffen und damit nach Art. 89 Abs. 1 BGG zur Beschwerde legitimiert ist, kann mit Blick auf die folgenden Erwägungen offenbleiben.</w:t>
      </w:r>
    </w:p>
    <w:p>
      <w:r>
        <w:rPr>
          <w:b/>
        </w:rPr>
        <w:t>E. 2</w:t>
      </w:r>
    </w:p>
    <w:p>
      <w:r>
        <w:t>Die Anklagekammer hat ihren Entscheid detailliert begründet. Sie führte aus, der Beschwerdeführer beanstande insbesondere einen Bericht, welcher vom Beistand seiner Söhne resp. dem Beschwerdegegner verfasst worden sei. Dem Bericht liessen sich aber weder Anhaltspunkte auf eine Ehrverletzung zu Lasten des Beschwerdeführers noch Hinweise auf anderweitiges strafrechtlich relevantes Verhalten entnehmen. Auch hinsichtlich der Beschwerdegegnerinnen, also in Bezug auf die (frühere) Schulratspräsidentin und eine Schulsozialarbeiterin, läge kein hinreichender Tatverdacht vor. Der Strafantrag vom 7. November 2020 sei verspätet, soweit er sich auf Äusserungen der Beschwerdegegnerinnen am 22. November 2018, Ausführungen in einem Schreiben vom 21. Januar 2019, einen E-Mailaustausch vom 8. sowie 12. August 2019 und einen Bericht des schulpsychologischen Dienstes vom 6. Juli 2015 beziehen würde. Aus den eingereichten Dokumenten ergebe sich nicht und es werde auch nicht konkret dargelegt, inwiefern die damalige Schulratspräsidentin hoheitlichen Zwang ausgeübt und dadurch einen Amtsmissbrauch begangen haben könnte. Auch aus einem aktenkundigen Entscheid der Verwaltungsrekurskommission des Kantons St. Gallen vom 29. Mai 2018 würden sich keine Indizien für einen Amtsmissbrauch ableiten lassen, auch wenn daraus zu entnehmen sei, dass sich das Departement Bildung und Sport der Stadt X.________ bei der Erhebung einer Gebühr beim Beschwerdeführer zu Unrecht auf einen überholten Tarif gestützt habe.</w:t>
      </w:r>
    </w:p>
    <w:p>
      <w:r>
        <w:rPr>
          <w:b/>
        </w:rPr>
        <w:t>E. 3.1</w:t>
      </w:r>
    </w:p>
    <w:p>
      <w:r>
        <w:t>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mit Hinweisen). Das Bundesgericht ist im Übrigen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Art. 106 Abs. 2 BGG ; BGE 145 II 32 E. 5.1; 144 V 50 E. 4.2).</w:t>
      </w:r>
    </w:p>
    <w:p>
      <w:r>
        <w:rPr>
          <w:b/>
        </w:rPr>
        <w:t>E. 3.2</w:t>
      </w:r>
    </w:p>
    <w:p>
      <w:r>
        <w:t>Die vorliegende Beschwerde genügt diesen Anforderungen nicht. Der Beschwerdeführer beschränkt sich in seiner Eingabe darauf, seine Sicht der Dinge darzulegen. Seine Beschwerde enthält keine gezielte Auseinandersetzung mit den hiervor (E. 2) genannten und den weiteren Erwägungen der Vorinstanz. Insbesondere setzt der Beschwerdeführer der vorinstanzlichen, einlässlichen Würdigung des Berichts des Beschwerdegegners nur in pauschaler und nicht näher substantiierter Weise entgegen, es sei offensichtlich, dass der Bericht "bewusst verleumdend" sei. Der Vollständigkeit halber ist in Bezug auf die im angefochtenen Entscheid genannte Gebührenstreitigkeit anzufügen, dass der Erlass einer fehlerhaften Verfügung als solcher nicht strafbar ist (Urteile 1C_194/2019 vom 22. Mai 2019 E. 2; 1C_70/2018 vom 3. Mai 2018 E. 1.3).</w:t>
      </w:r>
    </w:p>
    <w:p>
      <w:r>
        <w:rPr>
          <w:b/>
        </w:rPr>
        <w:t>E. 4</w:t>
      </w:r>
    </w:p>
    <w:p>
      <w:r>
        <w:t>Auf die Beschwerde ist nicht einzutreten. Der Beschwerdeführer stellt ein Gesuch um unentgeltliche Rechtspflege. Da sein Rechtsbegehren unter den gegebenen Umständen von vornherein aussichtslos war,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