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1C_182/2020 vom 14. April 2020</w:t>
      </w:r>
    </w:p>
    <w:p>
      <w:r>
        <w:t>Bundesgericht, 2020-04-14, DE</w:t>
      </w:r>
    </w:p>
    <w:p>
      <w:r>
        <w:rPr>
          <w:b/>
        </w:rPr>
        <w:t xml:space="preserve">Quelle: </w:t>
      </w:r>
      <w:r>
        <w:t>https://mcp.opencaselaw.ch/entscheid/bger_1C_182_2020</w:t>
      </w:r>
    </w:p>
    <w:p>
      <w:r>
        <w:t>FR: TF 1C_182/2020 du 14 avril 2020</w:t>
      </w:r>
    </w:p>
    <w:p>
      <w:r>
        <w:t>IT: TF 1C_182/2020 del 14 aprile 2020</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w:t>
      </w:r>
    </w:p>
    <w:p>
      <w:r>
        <w:t>Ein besonders bedeutender Fall liegt insbesondere vor, wenn Gründe für die Annahme bestehen, dass elementare Verfahrensgrundsätze verletzt worden sind oder das Verfahren im Ausland schwere Mängel aufweist (Abs. 2; BGE 145 IV 99 E. 1 S. 104 ff.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S. 104 f. mit Hinweisen).</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 BGE 145 IV 99 E. 1.5 S. 107 mit Hinweisen).</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um ein Sachgebiet, bei dem die Beschwerde nach Art. 84 Abs. 1 BGG insoweit möglich ist. Es handelt sich jedoch um keinen besonders bedeutenden Fall.</w:t>
      </w:r>
    </w:p>
    <w:p>
      <w:r>
        <w:t>Die Beschwerdeführer machen im Wesentlichen geltend, es mangle an der Voraussetzung der beidseitigen Strafbarkeit. Begünstigung bedinge eine Vortat. Der Verstoss gegen das deutsche Parteiengesetz finde im Schweizer Strafrecht jedoch keine Entsprechung. Sie übersehen jedoch, dass das vom Straftatbestand der Begünstigung nach Art. 305 StGB geschützte Rechtsgut das Funktionieren der Strafrechtspflege ist, unabhängig vom verfolgten Delikt ( BGE 141 IV 459 E. 4.2 S. 462; Urteil 1C_3/2017 vom 14. März 2017 E. 1.2.3; je mit Hinweisen). Das Bundesstrafgericht prüfte deshalb unter dem Gesichtswinkel der beidseitigen Strafbarkeit zu Recht, ob das Verhalten des Beschwerdeführers Nr. 1 bei einem in der Schweiz geführten Strafverfahren prima facie als Begünstigung qualifiziert werden könnte (vgl. auch Urteil 1A.223/1992 vom 29. März 1993 E. 5 zur Gewährung der Rechtshilfe wegen Bestechung eines fremden Amtsträgers in einer Zeit, als dies in der Schweiz noch nicht strafbar war). Es ist somit nicht zu beanstanden, wenn es den Einwand der Beschwerdeführer betreffend das deutsche Parteiengesetz nicht als massgeblich erachtete.</w:t>
      </w:r>
    </w:p>
    <w:p>
      <w:r>
        <w:t>Der angefochtene Entscheid überzeugt in diesem Punkt. Rechtsfragen von grundsätzlicher Bedeutung stellen sich auch in anderer Hinsicht nicht. Dem Fall kommt keine aussergewöhnliche Tragweite zu.</w:t>
      </w:r>
    </w:p>
    <w:p>
      <w:r>
        <w:rPr>
          <w:b/>
        </w:rPr>
        <w:t>E. 2</w:t>
      </w:r>
    </w:p>
    <w:p>
      <w:r>
        <w:t>Auf die Beschwerde ist nicht einzutreten. Damit wird das Gesuch um aufschiebende Wirkung gegenstandslos. Der Beschwerde kommt im vorliegenden Fall ohnehin schon von Gesetzes wegen aufschiebende Wirkung zu ( Art. 103 Abs. 2 lit. c BGG ).</w:t>
      </w:r>
    </w:p>
    <w:p>
      <w:r>
        <w:t>Bei diesem Ausgang des Verfahrens tragen die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