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181/2017 vom 11. Dezember 2017</w:t>
      </w:r>
    </w:p>
    <w:p>
      <w:r>
        <w:t>Bundesgericht, 2017-12-11, DE</w:t>
      </w:r>
    </w:p>
    <w:p>
      <w:r>
        <w:rPr>
          <w:b/>
        </w:rPr>
        <w:t xml:space="preserve">Quelle: </w:t>
      </w:r>
      <w:r>
        <w:t>https://mcp.opencaselaw.ch/entscheid/bger_1C_181_2017</w:t>
      </w:r>
    </w:p>
    <w:p>
      <w:r>
        <w:t>FR: TF 1C 181/2017 du 11 décembre 2017</w:t>
      </w:r>
    </w:p>
    <w:p>
      <w:r>
        <w:t>IT: TF 1C 181/2017 del 11 dicembre 2017</w:t>
      </w:r>
    </w:p>
    <w:p>
      <w:pPr>
        <w:pStyle w:val="Heading2"/>
      </w:pPr>
      <w:r>
        <w:t>Regeste</w:t>
      </w:r>
    </w:p>
    <w:p>
      <w:r>
        <w:t>Entzug des Führerausweises für Motorfahrzeuge | Strassenbau und Strassenverkehr</w:t>
      </w:r>
    </w:p>
    <w:p>
      <w:pPr>
        <w:pStyle w:val="Heading2"/>
      </w:pPr>
      <w:r>
        <w:t>Erwägungen</w:t>
      </w:r>
    </w:p>
    <w:p>
      <w:r>
        <w:rPr>
          <w:b/>
        </w:rPr>
        <w:t>E. 1</w:t>
      </w:r>
    </w:p>
    <w:p>
      <w:r>
        <w:t>Das Strassenverkehrs- und Schifffahrtsamt des Kantons Bern entzog A.________ mit Verfügung vom 20. Oktober 2016 den Führerausweis für die Dauer von einem Monat, weil er am 16. Oktober 2015 in Kehrsatz innerorts die signalisierte Höchstgeschwindigkeit von 30 km/h um netto 19 km/h überschritten hatte. Eine dagegen von A.________ erhobene Beschwerde wies die Rekurskommission des Kantons Bern für Massnahmen gegenüber Fahrzeugführerinnen und Fahrzeugführern mit Entscheid vom 22. Februar 2017 ab.</w:t>
      </w:r>
    </w:p>
    <w:p>
      <w:r>
        <w:rPr>
          <w:b/>
        </w:rPr>
        <w:t>E. 2</w:t>
      </w:r>
    </w:p>
    <w:p>
      <w:r>
        <w:t>A.________ erhob mit Eingabe vom 25. März 2017 (Postaufgabe vom 28. März 2017) Beschwerde in öffentlich-rechtlichen Angelegenheiten gegen den ihm lediglich im Dispositiv eröffneten Entscheid der Rekurskommission des Kantons Bern für Massnahmen gegenüber Fahrzeugführerinnen und Fahrzeugführern. Das Bundesgericht teilte ihm mit Schreiben vom 4. Mai 2017 mit, dass er nach Erhalt des begründeten Entscheids seine Beschwerde innert 30 Tagen mit der notwendigen Begründung versehen könne. Der begründete Entscheid ist dem Beschwerdeführer am 3. Juli 2017 zugestellt worden. Eine Beschwerdeergänzung ist innert der Beschwerdefrist von 30 Tagen gemäss Art. 100 Abs. 1 BGG nicht nachgereicht worden. Das Bundesgericht verzichtet auf die Einholung von Vernehmlassungen.</w:t>
      </w:r>
    </w:p>
    <w:p>
      <w:r>
        <w:rPr>
          <w:b/>
        </w:rPr>
        <w:t>E. 3</w:t>
      </w:r>
    </w:p>
    <w:p>
      <w:r>
        <w:t>Nach Art. 42 Abs. 2 BGG ist in der Begründung einer Beschwerde in gedrängter Form darzulegen, inwiefern der angefochtene Entscheid Recht verletzt. Der Beschwerdeführer unterlässt vorliegend jegliche Auseinandersetzung mit der Begründung der Rekurskommission, die zur Abweisung der Beschwerde führte. Er legt somit nicht dar, inwiefern die Begründung der Rekurskommission bzw. deren Entscheid selbst rechts- bzw. verfassungswidrig sein soll. Die Beschwerde genügt den gesetzlichen Formerfordernissen offensichtlich nicht (vgl. BGE 136 I 49 E. 1.4.1 S. 53, 65 E. 1.3.1 S. 68 mit Hinweisen),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