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1C_181/2014 vom 8. Oktober 2014</w:t>
      </w:r>
    </w:p>
    <w:p>
      <w:r>
        <w:t>Bundesgericht, 2014-10-08, FR</w:t>
      </w:r>
    </w:p>
    <w:p>
      <w:r>
        <w:rPr>
          <w:b/>
        </w:rPr>
        <w:t xml:space="preserve">Quelle: </w:t>
      </w:r>
      <w:r>
        <w:t>https://mcp.opencaselaw.ch/entscheid/bger_1C_181_2014</w:t>
      </w:r>
    </w:p>
    <w:p>
      <w:r>
        <w:t>FR: TF 1C_181/2014 du 8 octobre 2014</w:t>
      </w:r>
    </w:p>
    <w:p>
      <w:r>
        <w:t>IT: TF 1C_181/2014 del 8 ottobre 2014</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d'un mois; il a un intérêt digne de protection à son annulation. Il a donc qualité pour recourir au sens de l' art. 89 al. 1 LTF . Les autres conditions de recevabilité du recours sont réunies, de sorte qu'il convient d'entrer en matière.</w:t>
      </w:r>
    </w:p>
    <w:p>
      <w:r>
        <w:rPr>
          <w:b/>
        </w:rPr>
        <w:t>E. 2</w:t>
      </w:r>
    </w:p>
    <w:p>
      <w:r>
        <w:t>Le recourant reproche au Tribunal cantonal de s'être écarté de l'appréciation du juge pénal selon laquelle il n'y avait pas de mise en danger. En comparant la fiche de réception par type CH 3RA2 13 établie pour le véhicule de livraison Renault MASCOTT (réf. 130.35), au volant duquel il se trouvait, à la fiche CH 3RA2 18 relative à des véhicules du même modèle, mais prévus pour supporter des chargements plus lourds (réf.130.50; 130.55; 130.60 et 130.65), la cour cantonale aurait dû en déduire que le véhicule du recourant pouvait atteindre un poids total de 5'000 kg.</w:t>
      </w:r>
    </w:p>
    <w:p>
      <w:r>
        <w:rPr>
          <w:b/>
        </w:rPr>
        <w:t>E. 2.1</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w:t>
      </w:r>
    </w:p>
    <w:p>
      <w:r>
        <w:t>La cour cantonale n'a méconnu ni l'existence ni la teneur des fiches de réception par type des différents modèles de véhicules. Elle a toutefois jugé que leur comparaison était sans pertinence sous l'angle de la mise en danger, ce qui constitue une appréciation juridique. Dans ces circonstances, le grief relatif à l'appréciation des preuves doit être rejeté.</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139 II 95 consid. 3.2 p. 101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105 Ib 18 consid. 1a et les références). Si les faits retenus au pénal lient donc en principe l'autorité et le juge administratifs, il en va différemment des questions de droit, en particulier de l'appréciation de la faute et de la mise en danger (cf. ATF 139 II 95 consid. 3.2 p. 101; arrêt 1C_495/2013 du 7 janvier 2014 consid. 6.1).</w:t>
      </w:r>
    </w:p>
    <w:p>
      <w:r>
        <w:t>Dans sa décision sur opposition, le préfet a mentionné que, dans la mesure où le véhicule pouvait techniquement, d'après le constructeur, supporter un poids supérieur à celui figurant sur le permis de circulation, aucune mise en danger n'avait été provoquée. Cette constatation se fonde exclusivement sur l'attestation établie</w:t>
      </w:r>
    </w:p>
    <w:p>
      <w:r>
        <w:t>a posteriori par le constructeur, à la demande de l'employeur du recourant. En revanche, les conclusions de l'arrêt attaqué procèdent non seulement de l'examen de ce document, mais également de celui de la fiche de réception par type, laquelle est établie antérieurement à la mise en circulation et à l'issue d'une procédure stricte prévue par la LCR (voir</w:t>
      </w:r>
    </w:p>
    <w:p>
      <w:r>
        <w:t>infra consid. 3.1). Dans ces circonstances et dans la mesure où il s'agit d'une question de droit qui ne lie pas le Tribunal cantonal, ce dernier pouvait procéder à une appréciation de la mise en danger différente de celle du juge pénal.</w:t>
      </w:r>
    </w:p>
    <w:p>
      <w:r>
        <w:t>Mal fondé, ce grief doit être rejeté.</w:t>
      </w:r>
    </w:p>
    <w:p>
      <w:r>
        <w:rPr>
          <w:b/>
        </w:rPr>
        <w:t>E. 3</w:t>
      </w:r>
    </w:p>
    <w:p>
      <w:r>
        <w:t>Sur le fond, le recourant affirme que c'est à tort que le Tribunal cantonal s'est écarté de l'attestation établie par le constructeur. D'après lui, ce document devrait avoir le pas sur les restrictions de poids mentionnées par la fiche de réception par type du véhicule Renault Mascott 130.35, reportées sur le permis de circulation.</w:t>
      </w:r>
    </w:p>
    <w:p>
      <w:r>
        <w:rPr>
          <w:b/>
        </w:rPr>
        <w:t>E. 3.1</w:t>
      </w:r>
    </w:p>
    <w:p>
      <w:r>
        <w:t>La définition des caractéristiques techniques permettant la mise en circulation des véhicules automobiles nécessite une procédure stricte. En effet, selon l' art. 12 al. 1 LCR , une réception par type est nécessaire pour la mise en circulation des véhicules automobiles et leurs remorques fabriqués en série. Conformément à l'art. 2 let. b de l'ordonnance sur la réception par type des véhicules routiers (ORT; RS 741.511), il s'agit de l'attestation officielle selon laquelle un type de véhicule est conforme aux exigences techniques requises en la matière et se prête à l'usage auquel il est destiné. Il appartient au constructeur de fournir une garantie concernant le poids maximal du véhicule techniquement autorisé (art. 41 al. 2 de l'ordonnance concernant les exigences techniques requises pour les véhicules routiers - OETV; RS 741.11). Cette garantie technique n'est admise qu'aux conditions de l' art. 41 al. 2bis OETV (arrêt du Tribunal fédéral 1C_690/2013 du 4 février 2014 consid. 3.2).</w:t>
      </w:r>
    </w:p>
    <w:p>
      <w:r>
        <w:rPr>
          <w:b/>
        </w:rPr>
        <w:t>E. 3.2</w:t>
      </w:r>
    </w:p>
    <w:p>
      <w:r>
        <w:t>En l'espèce, pour déterminer le poids garanti du véhicule, le Tribunal cantonal s'est fondé sur l'attestation officielle selon laquelle le type de véhicule auquel appartient la voiture de livraison du recourant est conforme aux exigences techniques requises et se prête à l'usage auquel il est destiné ( art. 2 let. b ORT ). La cour cantonale n'a pas retenu l'attestation du constructeur présentée postérieurement par le recourant, non soumise, quant à elle, à la procédure d'admission prévue aux art. 2 let. b ORT ainsi que 41 al. 2 et 2bis OETV. Elle a ainsi estimé que seule la fiche de réception par type établie selon la procédure prévue par la loi était pertinente. Ce raisonnement n'est pas critiquable; les prescriptions de l'ORT et de l'OETV sont précises et ne laissent pas place à une détermination de la charge totale du véhicule au cas par cas, moins encore</w:t>
      </w:r>
    </w:p>
    <w:p>
      <w:r>
        <w:t>a posteriori . Il n'appartient pas aux particuliers de remettre en cause les indications figurant sur le permis de circulation de sorte qu'un dépassement de la charge autorisée constitue une mise en danger abstraite.</w:t>
      </w:r>
    </w:p>
    <w:p>
      <w:r>
        <w:t>Compte tenu de ce qui précède, le présent grief doit être rejeté.</w:t>
      </w:r>
    </w:p>
    <w:p>
      <w:r>
        <w:rPr>
          <w:b/>
        </w:rPr>
        <w:t>E. 4</w:t>
      </w:r>
    </w:p>
    <w:p>
      <w:r>
        <w:t>Enfin, le recourant estime qu'à défaut de mise en danger, le Tribunal cantonal aurait dû retenir une infraction légère au sens de l' art. 16a LCR et prononcer un avertissement à son encontre.</w:t>
      </w:r>
    </w:p>
    <w:p>
      <w:r>
        <w:rPr>
          <w:b/>
        </w:rPr>
        <w:t>E. 4.1</w:t>
      </w:r>
    </w:p>
    <w:p>
      <w:r>
        <w:t>Commet une infraction légère la personne qui, en violant les règles de la circulation, met légèrement en danger la sécurité d'autrui et à laquelle seule une faute bénigne peut être imputée ( art. 16a al. 1 let. a LCR ). Commet une infraction moyennement grave la personne qui, en violant les règles de la circulation, crée un danger pour la sécurité d'autrui ou en prend le risque ( art. 16b al. 1 let. a LCR ). Commet une infraction grave la personne qui, en violant gravement les règles de la circulation, met sérieusement en danger la sécurité d'autrui ou en prend le risque ( art. 16c al. 1 let. a LCR ). Le législateur conçoit l' 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p. 452 et les références).</w:t>
      </w:r>
    </w:p>
    <w:p>
      <w:r>
        <w:rPr>
          <w:b/>
        </w:rPr>
        <w:t>E. 4.2</w:t>
      </w:r>
    </w:p>
    <w:p>
      <w:r>
        <w:t>Le Tribunal cantonal a retenu, à juste titre, que le véhicule conduit par le recourant présentait une surcharge 1'194 kg par rapport au poids autorisé, soit un dépassement de 34.11%, et qu'il en découlait une mise en danger abstraite. Se fondant sur une importante jurisprudence cantonale, il a jugé que le recourant avait commis une infraction moyennement grave et a confirmé le retrait du permis de conduire pour une durée d'un mois.</w:t>
      </w:r>
    </w:p>
    <w:p>
      <w:r>
        <w:rPr>
          <w:b/>
        </w:rPr>
        <w:t>E. 4.3</w:t>
      </w:r>
    </w:p>
    <w:p>
      <w:r>
        <w:t>En l'espèce, la surcharge constatée dépasse de plus d'un tiers le poids autorisé. En raison des pressions accrues engendrée sur les différentes composantes du véhicule, notamment les pneumatiques et les essieux, le risque d'une défaillance technique est augmenté. A cela s'ajoute qu'au moment des faits le recourant ne disposait pas d'un permis l'autorisant à conduire un véhicule dépassant un poids de 3'500 kg, ce qu'il ne conteste au demeurant pas. Cela constitue non seulement une faute, mais accroît la mise en danger, eu égard notamment aux différences de comportement d'un véhicule automobile sous l'effet de son poids. Dans ces circonstances, l'infraction commise ne saurait être qualifiée de légère (cf. arrêt 1C_690/2013 consid. 4.1 et les références).</w:t>
      </w:r>
    </w:p>
    <w:p>
      <w:r>
        <w:t>Sur le vu de ce qui précède, le raisonnement de la cour cantonale retenant la commission d'une infraction de moyenne gravité et confirmant le retrait du permis de conduire pour une durée d'un mois correspondant au minimum légal ( art. 16b al. 2 let. a LCR ) ne prête pas le flanc à la critique et doit être confirmé.</w:t>
      </w:r>
    </w:p>
    <w:p>
      <w:r>
        <w:rPr>
          <w:b/>
        </w:rPr>
        <w:t>E. 5</w:t>
      </w:r>
    </w:p>
    <w:p>
      <w:r>
        <w:t>Les considérants qui précèdent conduisent au rejet du recours. Conformément à l' art. 66 al. 1 LTF , les frais de justice sont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