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1C_181/2011 vom 24. Mai 2011</w:t>
      </w:r>
    </w:p>
    <w:p>
      <w:r>
        <w:t>Bundesgericht, 2011-05-24, DE</w:t>
      </w:r>
    </w:p>
    <w:p>
      <w:r>
        <w:rPr>
          <w:b/>
        </w:rPr>
        <w:t xml:space="preserve">Quelle: </w:t>
      </w:r>
      <w:r>
        <w:t>https://mcp.opencaselaw.ch/entscheid/bger_1C_181_2011</w:t>
      </w:r>
    </w:p>
    <w:p>
      <w:r>
        <w:t>FR: TF 1C_181/2011 du 24 mai 2011</w:t>
      </w:r>
    </w:p>
    <w:p>
      <w:r>
        <w:t>IT: TF 1C_181/2011 del 24 maggio 2011</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1.1</w:t>
      </w:r>
    </w:p>
    <w:p>
      <w:r>
        <w:t>Zwar geht es im vorliegenden Fall um ein Auslieferungsersuchen und damit um ein Sachgebiet, bei dem die Beschwerde in öffentlich-rechtlichen Angelegenheiten nach Art. 84 Abs. 1 BGG insoweit möglich wäre. Zu prüfen ist jedoch zusätzlich, ob es sich hier um einen besonders bedeutenden Fall handelt.</w:t>
      </w:r>
    </w:p>
    <w:p>
      <w:r>
        <w:rPr>
          <w:b/>
        </w:rPr>
        <w:t>E. 1.2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Auch bei Auslieferungen kann ein besonders bedeutender Fall nur ausnahmsweise angenommen werden. In der Regel stellen sich namentlich keine Rechtsfragen, die einer Klärung durch das Bundesgericht bedürfen ( BGE 134 IV 156 E. 1.3.4 S. 161). Auch der Begriff des schweren Mangels des ausländischen Verfahrens ist restriktiv auszulegen ( BGE 133 IV 131 E. 3 S. 132; 271 E. 2.2.2 S. 274). Das blosse Vorbringen des Rechtsuchenden, die Behörden hätten sein rechtliches Gehör oder andere elementare Verfahrensgrundsätze verletzt, lässt einen Rechtshilfefall ebenfalls nicht als besonders bedeutend erscheinen. Vielmehr müssen dafür ernsthafte Anhaltspunkte objektiv vorliegen (vgl. Urteil 1C_211/2010 vom 25. Mai 2010 E. 4).</w:t>
      </w:r>
    </w:p>
    <w:p>
      <w:r>
        <w:rPr>
          <w:b/>
        </w:rPr>
        <w:t>E. 1.3</w:t>
      </w:r>
    </w:p>
    <w:p>
      <w:r>
        <w:t>Nach Art. 109 BGG entscheidet die Abteilung in Dreierbesetzung über Nichteintreten auf eine Beschwerde, wenn kein besonders bedeutender Fall vorliegt (Abs. 1). Der Entscheid wird summarisch begründet (Abs. 3; zum vereinfachten Verfahren nach Art. 109 i.V.m. Art. 84 und Art. 107 Abs. 3 BGG vgl. BGE 133 IV 125 ff.).</w:t>
      </w:r>
    </w:p>
    <w:p>
      <w:r>
        <w:rPr>
          <w:b/>
        </w:rPr>
        <w:t>E. 2</w:t>
      </w:r>
    </w:p>
    <w:p>
      <w:r>
        <w:t>Der Beschwerdeführer macht geltend, es liege ein besonders bedeutender Fall vor, da Gründe für die Annahme bestünden, dass das Verfahren im Ausland schwere Mängel aufweise. Ausserdem sei ihm im Rechtshilfeverfahren das umfassende rechtliche Gehör bzw. die Akteneinsicht verweigert worden. Zur Begründung verweist der Beschwerdeführer auf seine materiellen Vorbringen. Darin wiederholt er im Wesentlichen (und praktisch identisch) seine Argumente aus der Beschwerdeschrift an das Bundesstrafgericht. Es kann offen bleiben, ob die Beschwerde insofern den spezifischen Substanziierungserfordernissen (von Art. 42 Abs. 2 Satz 2 BGG ) im Rechtshilfeverfahren genügt.</w:t>
      </w:r>
    </w:p>
    <w:p>
      <w:r>
        <w:rPr>
          <w:b/>
        </w:rPr>
        <w:t>E. 2.1</w:t>
      </w:r>
    </w:p>
    <w:p>
      <w:r>
        <w:t>Der Beschwerdeführer beanstandet, dass die Vorinstanz seiner Sachdarstellung und seiner rechtlichen Argumentation nicht gefolgt ist. Ausserdem verweist er darauf, dass das BJ eine als "vertraulich" eingestufte Stellungnahme des EDA vom 29. Juli 2010 (zu Menschenrechtsgarantien seitens der Republik Kosovo) eingeholt habe. Er macht geltend, der Bericht des EDA sei ihm "nicht zur Einsichtnahme zugestellt" worden.</w:t>
      </w:r>
    </w:p>
    <w:p>
      <w:r>
        <w:rPr>
          <w:b/>
        </w:rPr>
        <w:t>E. 2.1.1</w:t>
      </w:r>
    </w:p>
    <w:p>
      <w:r>
        <w:t>Für eine Verletzung des rechtlichen Gehörs im Auslieferungsverfahren bestehen keine Anhaltspunkte: Wie sich aus den Akten ergibt, wurde die fragliche Stellungnahme des EDA in der Schlussverfügung des BJ vom 7. Oktober 2010 ausdrücklich erwähnt und inhaltlich zusammengefasst. In seiner Beschwerdeschrift vom 4. November 2010 an das Bundesstrafgericht rügte der Beschwerdeführer nicht, das BJ habe ihm die Einsicht in den Bericht des EDA verweigert. Im Gegenteil verwies er selber ausdrücklich auf den Bericht des EDA vom 29. Juli 2010, ohne irgendwelche Beanstandungen betreffend rechtliches Gehör zu erheben oder ein Akteneinsichtsgesuch zu stellen. Ebenso wenig ist aus den Akten ersichtlich, dass der Beschwerdeführer im Verfahren vor dem Bundesstrafgericht einen entsprechenden separaten Akteneinsichtsantrag gestellt hätte, der abgewiesen worden wäre.</w:t>
      </w:r>
    </w:p>
    <w:p>
      <w:r>
        <w:rPr>
          <w:b/>
        </w:rPr>
        <w:t>E. 2.1.2</w:t>
      </w:r>
    </w:p>
    <w:p>
      <w:r>
        <w:t>Es kann offen bleiben, ob sich aus Art. 99 BGG in diesem Zusammenhang noch ein zusätzliches Sachurteilshindernis ergeben würde.</w:t>
      </w:r>
    </w:p>
    <w:p>
      <w:r>
        <w:rPr>
          <w:b/>
        </w:rPr>
        <w:t>E. 2.1.3</w:t>
      </w:r>
    </w:p>
    <w:p>
      <w:r>
        <w:t>Dass die Vorinstanz den rechtlichen und tatsächlichen Vorbringen des Beschwerdeführers inhaltlich (mit ausführlicher Begründung) nicht gefolgt ist, stellt ebenfalls keine Verletzung des rechtlichen Gehörs dar (vgl. BGE 135 I 71 E. 2.16 S. 79).</w:t>
      </w:r>
    </w:p>
    <w:p>
      <w:r>
        <w:rPr>
          <w:b/>
        </w:rPr>
        <w:t>E. 2.2</w:t>
      </w:r>
    </w:p>
    <w:p>
      <w:r>
        <w:t>Aus den Vorbringen in der Beschwerdeschrift und den vorliegenden Akten ergeben sich auch keine Anhaltspunkte für schwere Mängel des in Kosovo (bzw. durch die Behörden der UNMIK) durchgeführten Verfahrens. Diesbezüglich kann auf die Erwägungen der Vorinstanz verwiesen werden. Der angefochtene Entscheid stützt sich auf die einschlägigen Normen des Auslieferungsrechtes und die betreffende Bundesgerichtspraxis, auf die zurückzukommen im vorliegenden Fall kein Anlass besteht.</w:t>
      </w:r>
    </w:p>
    <w:p>
      <w:r>
        <w:rPr>
          <w:b/>
        </w:rPr>
        <w:t>E. 3</w:t>
      </w:r>
    </w:p>
    <w:p>
      <w:r>
        <w:t>Auf die Beschwerde ist (gestützt auf Art. 84 i.V.m. Art. 109 BGG ) nicht einzutreten.</w:t>
      </w:r>
    </w:p>
    <w:p>
      <w:r>
        <w:t>Der Beschwerdeführer beantragt die unentgeltliche Prozessführung und Rechtsverbeiständung. Da die gesetzlichen Voraussetzungen beim amtlich verbeiständeten Gesuchsteller erfüllt erscheinen, kann dem Begehren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