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1C_181/2010 vom 28. Mai 2010</w:t>
      </w:r>
    </w:p>
    <w:p>
      <w:r>
        <w:t>Bundesgericht, 2010-05-28, DE</w:t>
      </w:r>
    </w:p>
    <w:p>
      <w:r>
        <w:rPr>
          <w:b/>
        </w:rPr>
        <w:t xml:space="preserve">Quelle: </w:t>
      </w:r>
      <w:r>
        <w:t>https://mcp.opencaselaw.ch/entscheid/bger_1C_181_2010</w:t>
      </w:r>
    </w:p>
    <w:p>
      <w:r>
        <w:t>FR: TF 1C_181/2010 du 28 mai 2010</w:t>
      </w:r>
    </w:p>
    <w:p>
      <w:r>
        <w:t>IT: TF 1C_181/2010 del 28 maggio 2010</w:t>
      </w:r>
    </w:p>
    <w:p>
      <w:pPr>
        <w:pStyle w:val="Heading2"/>
      </w:pPr>
      <w:r>
        <w:t>Erwägungen</w:t>
      </w:r>
    </w:p>
    <w:p>
      <w:r>
        <w:rPr>
          <w:b/>
        </w:rPr>
        <w:t>E. 1</w:t>
      </w:r>
    </w:p>
    <w:p>
      <w:r>
        <w:t>Die Beschwerden betreffen dieselbe Rechtshilfeangelegenheit und können im Wesentlichen mit der gleichen Begründung erledigt werden. Es rechtfertigt sich daher, die Beschwerdeverfahren zu vereinigen.</w:t>
      </w:r>
    </w:p>
    <w:p>
      <w:r>
        <w:rPr>
          <w:b/>
        </w:rPr>
        <w:t>E. 2</w:t>
      </w:r>
    </w:p>
    <w:p>
      <w:r>
        <w:t>Rechtsanwalt Groner reichte im Verfahren 1C_183/2010 nicht eine von der Beschwerdeführerin 3, sondern von der Beschwerdeführerin 1 unterzeichnete Vollmacht ein. Das Bundesgericht forderte ihn deshalb auf, bis zum 23. April 2010 eine rechtsgenügliche Vollmacht nachzureichen; dies mit der Androhung, dass die Rechtsschrift sonst unbeachtet bleibe ( Art. 42 Abs. 5 BGG ).</w:t>
      </w:r>
    </w:p>
    <w:p>
      <w:r>
        <w:t>Rechtsanwalt Groner hat dem Bundesgericht die verlangte Vollmacht nicht nachgereicht. Schon deshalb kann auf die Beschwerde im Verfahren 1C_183/2010 nicht eingetreten werden. Im Übrigen gälten auch insoweit die folgenden Erwägungen.</w:t>
      </w:r>
    </w:p>
    <w:p>
      <w:r>
        <w:rPr>
          <w:b/>
        </w:rPr>
        <w:t>E. 3.1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3.2</w:t>
      </w:r>
    </w:p>
    <w:p>
      <w:r>
        <w:t>Zwar geht es hier um die Übermittlung von Informationen aus dem Geheimbereich und damit um ein Sachgebiet, bei dem die Beschwerden nach Art. 84 Abs. 1 BGG insoweit möglich sind. Entgegen der Auffassung der Beschwerdeführerinnen handelt es sich jedoch um keine besonders bedeutenden Fälle. Was sie dazu (übereinstimmend) vorbringen, ist unbehelflich.</w:t>
      </w:r>
    </w:p>
    <w:p>
      <w:r>
        <w:t>Sie machen geltend, das lettische Strafverfahren sei politisch motiviert. Als juristische Personen sind sie jedoch nicht befugt, Mängel des ausländischen Verfahrens nach Art. 2 IRSG zu rügen ( BGE 130 II 217 E. 8.2 S. 228). Was sie zum behaupteten politischen Charakter des lettischen Verfahrens vorbringen, beschränkt sich im Übrigen auf Spekulation. Die Vorinstanz hat sich mit den wesentlichen Einwänden der Beschwerdeführerinnen auseinandergesetzt. Die vorinstanzlichen Erwägungen, auf welche verwiesen werden kann ( Art. 109 Abs. 3 BGG ), lassen keine Bundesrechtsverletzung erkennen. Die Fälle sind nicht von aussergewöhnlicher Tragweite. Rechtsfragen von grundsätzlicher Bedeutung stellen sich nicht. Für das Bundesgericht besteht deshalb kein Anlass, die Fälle an die Hand zu nehmen.</w:t>
      </w:r>
    </w:p>
    <w:p>
      <w:r>
        <w:rPr>
          <w:b/>
        </w:rPr>
        <w:t>E. 4</w:t>
      </w:r>
    </w:p>
    <w:p>
      <w:r>
        <w:t>Die Kosten der Beschwerdeverfahren 1C_181 und 182/2010 tragen je die Beschwerdeführerinnen 1 und 2 ( Art. 66 Abs. 1 Satz 1 BGG ).</w:t>
      </w:r>
    </w:p>
    <w:p>
      <w:r>
        <w:t>Die Kosten des Beschwerdeverfahrens 1C_183/2010 werden Rechtsanwalt Groner auferlegt ( Art. 71 BGG i.V.m. Art. 18 Abs. 3 Satz 2 BZP [SR 273]).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