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1C_180/2025 vom 4. September 2025</w:t>
      </w:r>
    </w:p>
    <w:p>
      <w:r>
        <w:t>Bundesgericht, 2025-09-04, FR</w:t>
      </w:r>
    </w:p>
    <w:p>
      <w:r>
        <w:rPr>
          <w:b/>
        </w:rPr>
        <w:t xml:space="preserve">Quelle: </w:t>
      </w:r>
      <w:r>
        <w:t>https://mcp.opencaselaw.ch/entscheid/bger_1C_180_2025</w:t>
      </w:r>
    </w:p>
    <w:p>
      <w:r>
        <w:t>FR: TF 1C_180/2025 du 4 septembre 2025</w:t>
      </w:r>
    </w:p>
    <w:p>
      <w:r>
        <w:t>IT: TF 1C_180/2025 del 4 settembre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 Les recourantes 1 et 2, qui ont pris part à la procédure devant l'instance précédente, sont copropriétaires de la parcelle concernée par le refus de délivrer l'autorisation de construire qu'elles ont requise. Elles disposent de ce fait de la qualité pour recourir au sens de l' art. 89 al. 1 LTF contre l'arrêt cantonal qui confirme ce refus. Dans la mesure où le propriétaire constructeur conteste céans le refus de construire, la légitimation des recourantes 3 et 4, qui exploitent un salon de massage, respectivement un restaurant dans l'immeuble concerné, peut demeurer indécise (cf. arrêt 1C_541/2023 du 8 juillet 2024 consid. 1.4; Florence Aubry Girardin, in Commentaire de la LTF, 3ème éd. 2022, n° 48 ad art. 89 LTF ). Sous réserve d'une motivation suffisante des griefs, les autres conditions de recevabilité sont réunies, si bien qu'il y a en principe lieu d'entrer en matière sur le recours.</w:t>
      </w:r>
    </w:p>
    <w:p>
      <w:r>
        <w:rPr>
          <w:b/>
        </w:rPr>
        <w:t>E. 2</w:t>
      </w:r>
    </w:p>
    <w:p>
      <w:r>
        <w:t>Les recourantes considèrent que le refus de leur délivrer une autorisation de construire, au motif que les pièces fournies étaient insuffisantes, résulterait d'un formalisme excessif, d'une violation du principe de la bonne foi et d'une application arbitraire de dispositions cantonales.</w:t>
      </w:r>
    </w:p>
    <w:p>
      <w:r>
        <w:rPr>
          <w:b/>
        </w:rPr>
        <w:t>E. 2.1.1</w:t>
      </w:r>
    </w:p>
    <w:p>
      <w:r>
        <w:t>Selon l'art. 2 al. 1 de la loi genevoise sur les constructions et les installations diverses du 14 avril 1988 (LCI; RS/GE L 5 05), les demandes d'autorisation sont adressées au département. Le règlement d'application détermine les pièces qui doivent être déposées par le demandeur et les indications que celui-ci doit fournir concernant les objets destinés à occuper le sous-sol de façon permanente (al. 2).</w:t>
      </w:r>
    </w:p>
    <w:p>
      <w:r>
        <w:t>Aux termes de l'art. 9 al. 1 du règlement d'application de la loi sur les constructions et les installations du 27 février 1978 (aRCI; RS/GE L 5 05.01), dans sa version en vigueur jusqu'au 31 décembre 2024, la demande définitive doit être adressée au département sur formule officielle, en dix exemplaires. L'art. 9 al. 2 aRCI décrit les plans et documents qui doivent notamment être joints à la demande d'autorisation de construire, à savoir en particulier un extrait du plan d'ensemble (let. a); un extrait du plan cadastral conforme à l'art. 7 al. 2 et 4 de l'ordonnance fédérale sur la mensuration officielle du 18 novembre 1992 (OMO; RS 211.432.2; let. b); un tableau pour les calculs au sens de l'art. 42 al. 3 de l'ordonnance fédérale sur l'aménagement du territoire du 28 juin 2000 (OAT; RS 700.1) et schémas explicatifs pour les constructions et installations nécessitant une dérogation au sens de l'art. 27C de la loi d'application de la loi fédérale sur l'aménagement du territoire du 4 juin 1987 (LaLAT; RS/GE L 1 30; let. bb); des plans clairs, précis, bien ordonnés et cotés de tous les étages (sous-sols, caves et combles compris) avec désignation de tous les locaux et qui doivent, en cas de transformation, être teintés en deux couleurs conventionnelles, soit jaune pour ce qui est à démolir et rouge pour ce qui est à construire (let. f); le questionnaire relatif à la sécurité incendie (let. t).</w:t>
      </w:r>
    </w:p>
    <w:p>
      <w:r>
        <w:rPr>
          <w:b/>
        </w:rPr>
        <w:t>E. 2.1.2</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w:t>
      </w:r>
    </w:p>
    <w:p>
      <w:r>
        <w:rPr>
          <w:b/>
        </w:rPr>
        <w:t>E. 2.2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ATF 142 IV 299 consid. 1.3.2; ATF 142 I 10 consid. 2.4.2; ATF 135 I 6 consid. 2.1; arrêt 6B_1129/2019 du 27 novembre 2019 consid. 1.1). En tant que l'interdiction du formalisme excessif sanctionne un comportement répréhensible de l'autorité dans ses relations avec le justiciable, elle poursuit le même but que le principe de la bonne foi ( art. 5 al. 3 et 9 Cst. ; art. 3 al. 2 let. a CPP ; ATF 145 I 201 consid. 4.2.1). À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arrêts 1C_318/2022 du 12 juillet 2022 consid. 2.1; 5A_741/2016 du 6 décembre 2016 consid. 6.1.1).</w:t>
      </w:r>
    </w:p>
    <w:p>
      <w:r>
        <w:rPr>
          <w:b/>
        </w:rPr>
        <w:t>E. 2.3</w:t>
      </w:r>
    </w:p>
    <w:p>
      <w:r>
        <w:t>Pour les constructions et installations à usage commercial sises hors zone à bâtir et non conformes à l'affectation de la zone, comme c'est le cas en l'espèce, l'art. 37a de la loi fédérale sur l'aménagement du territoire du 22 juin 1979 (LAT; RS 700) habilite le Conseil fédéral à définir les conditions auxquelles sont autorisés les changements d'affectation de telles constructions érigées avant le 1er janvier 1980 ou qui sont devenues contraires à l'affectation de la zone en raison d'une modification du plan d'affectation. Cette réglementation fait l'objet de l' art. 43 OAT .</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 art. 24c LAT ) en faveur des constructions à usage commercial (arrêts 1C_557/2021 du 28 mars 2023 consid. 4.2; 1C_176/2010 du 30 juillet 2010 consid. 2.2 et la référence citée). Ni l'ordonnance ni la loi ne posent expressément d'exigence quant à sa continuité.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 ATF 140 II 509 consid. 2.7; arrêts 1C_557/2021 du 28 mars 2023 consid. 4.2; 1C_176/2010 du 30 juillet 2010 consid. 2.2 et la référence citée). Par cette réglementation spéciale, le législateur fédéral a entendu donner aux autorités cantonales une marge de manoeuvre plus importante que celle octroyée à l' art. 24c LAT pour toutes les autres constructions (arrêts 1C_53/2022 du 15 mai 2023 consid. 2.2.2; 1C_557/2021 du 28 mars 2023 consid. 4.2; Rudolf Muggli, in Aemisegger/Moor/Ruch/Tschannen [éds], Commentaire pratique LAT: Construire hors zone à bâtir, 2017, n° 1 ad. art. 37a LAT ).</w:t>
      </w:r>
    </w:p>
    <w:p>
      <w:r>
        <w:rPr>
          <w:b/>
        </w:rPr>
        <w:t>E. 2.4</w:t>
      </w:r>
    </w:p>
    <w:p>
      <w:r>
        <w:t>En l'espèce, après avoir analysé les documents produits par les recourantes dans la procédure d'autorisation de construire, la Cour de justice a considéré qu'ils n'étaient pas suffisamment précis pour permettre au département de rendre une décision sur leur demande. En particulier, rien n'était indiqué quant au dancing (qui n'avait auparavant jamais été autorisé); la précision des plans quant aux aménagements en place laissait à désirer; ni le tableau exigé par l' art. 9 al. 2 let . bb aRCI, ni le plan demandé par l'OCEau pour examiner la conformité du projet à l' art. 24c LAT , ni encore le plan requis par la police du feu, n'avaient été produits; et enfin aucune information quant à la nécessité du changement d'affectation afin d'obtenir une dérogation n'avait été fournie.</w:t>
      </w:r>
    </w:p>
    <w:p>
      <w:r>
        <w:rPr>
          <w:b/>
        </w:rPr>
        <w:t>E. 2.5</w:t>
      </w:r>
    </w:p>
    <w:p>
      <w:r>
        <w:t>Les recourantes relèvent que leur demande ne portait pas sur une nouvelle construction, mais qu'elle se limitait à solliciter la régularisation d'une situation existante se rapportant uniquement à la terrasse couverte du premier étage de 101 m², à l'agrandissement de la pergola extérieure de 205 m² et à la régularisation du changement d'affectation.</w:t>
      </w:r>
    </w:p>
    <w:p>
      <w:r>
        <w:t>Ces éléments n'ont pas été ignorés par la Cour de justice qui a d'ailleurs relevé, en citant leur courrier du 12 mars 2023, que les propriétaires demandaient uniquement le changement d'affectation de deux parties du bâtiment.</w:t>
      </w:r>
    </w:p>
    <w:p>
      <w:r>
        <w:rPr>
          <w:b/>
        </w:rPr>
        <w:t>E. 2.6</w:t>
      </w:r>
    </w:p>
    <w:p>
      <w:r>
        <w:t>Selon les recourantes, les pièces produites, et décrites aux consid. 3.3.2.2.1 à 3.3.2.2.7 de l'arrêt querellé, seraient suffisantes et contiendraient toutes les informations nécessaires pour apprécier leur requête et notamment le respect des conditions de l' art. 43 OAT . À l'inverse, la production des autres formulaires réclamés par les services cantonaux serait inutile, dans la mesure où ils ne documenteraient d'aucune façon le projet concerné par la demande.</w:t>
      </w:r>
    </w:p>
    <w:p>
      <w:r>
        <w:rPr>
          <w:b/>
        </w:rPr>
        <w:t>E. 2.6.1</w:t>
      </w:r>
    </w:p>
    <w:p>
      <w:r>
        <w:t>Il est établi que la construction n'a pas été transformée légalement et que la seule affectation actuellement autorisée est celle d'un restaurant. L'aménagement d'une salle de dancing et d'un salon de massage dans ce bâtiment n'a au contraire jamais fait l'objet d'une autorisation et les précédentes transformations autorisées concernaient l'affectation "restaurant" selon le préavis du 13 mars 2023 du DAC. Il ressort aussi de la réponse des recourantes au département du 12 octobre 2022 que l'aménagement de la terrasse couverte et l'agrandissement de la pergola extérieure devant le bâtiment n'avaient pas fait l'objet d'une autorisation préalable.</w:t>
      </w:r>
    </w:p>
    <w:p>
      <w:r>
        <w:t>Dans ces conditions, il apparaît que les autorités cantonales pouvaient attendre des recourantes qu'elles donnent des informations complémentaires quant à leur projet, notamment des explications détaillées sur la nécessité de cette affectation pour le maintien de leur entreprise (cf. art. 43 al. 3 OAT ; Rudolf Muggli,</w:t>
      </w:r>
    </w:p>
    <w:p>
      <w:r>
        <w:t>op. cit. , n° 21 ad art. 37a LAT ), respectivement qu'elles leur fournissent des documents plus précis quant à l'aménagement du dancing et du salon de massage. À cet égard, il n'était pas arbitraire d'exiger l'utilisation du tableau visé par l' art. 9 al. 2 let . bb aRCI, disponible sur le site de l'Office fédéral de l'aménagement du territoire (ARE), dans la mesure où il convenait de calculer précisément la surface brute de plancher agrandie (cf. art. 42 al. 3 et 43 OAT ). Les plans produits par les recourantes indiquent certes les espaces visés par la demande de régularisation, mais comprennent toutefois des divergences, notamment quant aux pièces qui changeront d'affectation (plans du 1er étage des 25 novembre 2022 et 12 mars 2023), et ne comportent de surcroît aucune indication quant à la salle de dancing à régulariser. Il n'est par ailleurs pas aisé d'identifier clairement la valeur des surfaces de ces espaces, qui varient selon les plans, afin de comparer la situation d'origine à celle qui est existante; il manque en particulier des indications s'agissant de la terrasse située au sud du bâtiment qui avait aussi été aménagée sans droit et qui fait l'objet de la demande de régularisation. Les recourantes ne soutiennent en outre pas avoir fourni, par un autre biais, des calculs et des schémas afin de déterminer le respect des conditions réglementaires (cf. art. 42 al. 3 et 43 OAT ).</w:t>
      </w:r>
    </w:p>
    <w:p>
      <w:r>
        <w:t>Ces informations et pièces complémentaires étaient aussi réclamées par l'OCEau, dès lors que le projet prend place dans une zone inconstructible liée aux eaux (cf. art. 15 de la loi cantonale sur les eaux du 5 juillet 1961 [LEaux-GE; RS/GE L 2 05]). Dans son préavis du 8 juillet 2022, cet office cantonal relevait qu'un plan avec indication des surfaces actuelles et futures, en différenciant le type de construction, devait aussi être fourni afin d'autoriser la transformation et l'agrandissement des installations projetées, étant précisé que le projet pourrait bénéficier de la garantie de la situation acquise (cf. art. 15 al. 6 LEaux -GE). Les recourantes ne se déterminent pas sur ce point et se contentent d'affirmer sans autre motivation que les pièces demandées déborderaient largement du cadre de la demande d'autorisation.</w:t>
      </w:r>
    </w:p>
    <w:p>
      <w:r>
        <w:rPr>
          <w:b/>
        </w:rPr>
        <w:t>E. 2.6.2</w:t>
      </w:r>
    </w:p>
    <w:p>
      <w:r>
        <w:t>S'agissant des plans produits par les recourantes, la cour cantonale a considéré, sans que cela ne soit critiquable, que leur précision laissait à désirer au vu de leur mauvaise qualité, des métrés et indications peu nets qu'ils comprenaient et qui avaient été simplement reportés sur des plans d'origine en noir et blanc datant des années 1980, 1981, 1993 et 1997. À cela s'ajoutait que les différents plans produits en cours de procédure comprenaient des divergences quant aux surfaces indiquées, ce qui amoindrissait d'autant plus leur qualité et fiabilité. Les explications apportées à ce sujet par les recourantes, selon lesquelles les différences s'expliqueraient par des mesures plus précises qui auraient été effectuées lors du dernier lot de plans transmis en mars 2023, ne convainquent pas et remettent au contraire encore plus en doute la fiabilité des documents produits, notamment s'agissant de la surface des autres pièces qui ne figure plus dans le plan du 12 mars 2023.</w:t>
      </w:r>
    </w:p>
    <w:p>
      <w:r>
        <w:t>Selon les précédents juges, les recourantes auraient dû établir des plans précis et actualisés reflétant la situation actuelle et comprenant tous les aménagements en place, y compris la salle de dancing. Bien que stricte, cette interprétation ne saurait être qualifiée d'excessivement formaliste, au vu des défauts du dossier qui ont été mis en évidence par l'instance précédente, de l'ancienneté des plans utilisés et de la relative complexité du projet, s'agissant d'un bâtiment sis en zone agricole, en zone de forêt et dans le plan de protection des rives de l'Arve, qui nécessite l'intervention de différentes autorités spécialisées et la délivrance de plusieurs dérogations. Une stricte application des exigences formelles de la demande de régularisation poursuivait ainsi des motifs pertinents, en plus de servir à une identification claire et complète des travaux envisagés et de leur conformité aux règles de la construction, aussi afin que d'éventuels tiers puissent efficacement exercer leurs droits (cf. Jean-Baptiste Zufferey, Droit public de la construction, 2024, n° 1075, p. 554).</w:t>
      </w:r>
    </w:p>
    <w:p>
      <w:r>
        <w:rPr>
          <w:b/>
        </w:rPr>
        <w:t>E. 2.6.3</w:t>
      </w:r>
    </w:p>
    <w:p>
      <w:r>
        <w:t>Il pouvait dans ces conditions être attendu des recourantes qu'elles se conforment aux exigences des autorités et qu'elles fournissent un dossier non seulement complet comprenant les différentes pièces et informations demandées par les services cantonaux, mais offrant également une lisibilité et précision suffisantes quant aux aménagements dont la régularisation était sollicitée. En appliquant strictement l'art. 9 al. 2 aRCI, les instances précédentes n'ont dès lors pas versé dans l'arbitraire ni fait preuve de formalisme excessif.</w:t>
      </w:r>
    </w:p>
    <w:p>
      <w:r>
        <w:rPr>
          <w:b/>
        </w:rPr>
        <w:t>E. 2.7</w:t>
      </w:r>
    </w:p>
    <w:p>
      <w:r>
        <w:t>Le grief tiré de la protection de la bonne foi est infondé. Le département a d'emblée signifié aux recourantes que leur dossier était incomplet et qu'il nécessitait des renseignements et pièces complémentaires, conformément aux divers préavis des services cantonaux. Dans la même mesure, il n'y a pas eu d'application arbitraire de l'art. 13 al. 1 aRCI (qui n'est du reste pas cité par l'instance précédente), selon lequel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Les recourantes ne démontrent enfin pas quelle assurance elles auraient reçu de la part du département, ni les conséquences qu'une telle assurance aurait entraînée sur leur situation, soit des conditions pourtant essentielles pour la protection de leur bonne foi (cf. ATF 143 V 95 consid. 3.6.2).</w:t>
      </w:r>
    </w:p>
    <w:p>
      <w:r>
        <w:rPr>
          <w:b/>
        </w:rPr>
        <w:t>E. 3</w:t>
      </w:r>
    </w:p>
    <w:p>
      <w:r>
        <w:t>Les considérants qui précèdent conduisent au rejet du recours aux frais des recourantes qui succombent ( art. 65 et 66 al. 1 et 5 LTF ). Il n'est pas alloué de dépens à l'autorité intimée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