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180/2014 vom 2. September 2014</w:t>
      </w:r>
    </w:p>
    <w:p>
      <w:r>
        <w:t>Bundesgericht, 2014-09-02, FR</w:t>
      </w:r>
    </w:p>
    <w:p>
      <w:r>
        <w:rPr>
          <w:b/>
        </w:rPr>
        <w:t xml:space="preserve">Quelle: </w:t>
      </w:r>
      <w:r>
        <w:t>https://mcp.opencaselaw.ch/entscheid/bger_1C_180_2014</w:t>
      </w:r>
    </w:p>
    <w:p>
      <w:r>
        <w:t>FR: TF 1C 180/2014 du 2 septembre 2014</w:t>
      </w:r>
    </w:p>
    <w:p>
      <w:r>
        <w:t>IT: TF 1C 180/2014 del 2 settembre 2014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un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La recourante reproche à l'autorité précédente des violations de l'art. 41 de la loi fédérale du 29 septembre 1952 sur l'acquisition et la perte de la nationalité suisse (LN ou loi sur la nationalité; RS 141.0).</w:t>
      </w:r>
    </w:p>
    <w:p>
      <w:r>
        <w:rPr>
          <w:b/>
        </w:rPr>
        <w:t>E. 2.1</w:t>
      </w:r>
    </w:p>
    <w:p>
      <w:r>
        <w:t>Conformément à l' art. 41 al. 1 LN ,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2.1.1</w:t>
      </w:r>
    </w:p>
    <w:p>
      <w:r>
        <w:t>Pour qu'une naturalisation facilitée soit annulée, il faut qu'elle ait été acquise grâce à un comportement déloyal et trompeur :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 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(sur cette notion, cf. art. 9 Cst. , ATF 140 III 16 consid. 2.1 p. 18 s.; 138 III 378 consid. 6.1 p. 379 s.; 138 III 193 consid. 4.3.1 p. 198), contraire au but de la loi ou au principe de la proportionnalité ( ATF 129 III 400 consid. 3.1 p. 403; 128 II 97 consid. 4a p. 101 et les arrêts cités).</w:t>
      </w:r>
    </w:p>
    <w:p>
      <w:r>
        <w:rPr>
          <w:b/>
        </w:rPr>
        <w:t>E. 2.1.2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En revanche,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(arrêt 5A.11/2006 du 27 juin 2006 consid. 3.1).</w:t>
      </w:r>
    </w:p>
    <w:p>
      <w:r>
        <w:rPr>
          <w:b/>
        </w:rPr>
        <w:t>E. 2.2</w:t>
      </w:r>
    </w:p>
    <w:p>
      <w:r>
        <w:t>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Le Tribunal administratif fédéral a considéré que l'enchaînement rapide des faits et le court laps de temps dans lesquels étaient intervenus la déclaration commune (le 26 octobre 2009), l'octroi de la naturalisation facilitée (le 18 novembre 2009), la séparation de fait (en janvier 2010), la demande de mesures protectrices de l'union conjugale (le 14 janvier 2010), la requête commune en divorce (le 21 juillet 2010), ainsi que le jugement de divorce (le 27 octobre 2010) laissaient présumer que l'intéressée n'envisageait déjà plus une vie de couple partagée avec son premier époux lors de la signature de la déclaration commune, respectivement au moment du prononcé de naturalisation, cela quand bien même les époux ne vivaient pas encore séparés.</w:t>
      </w:r>
    </w:p>
    <w:p>
      <w:r>
        <w:rPr>
          <w:b/>
        </w:rPr>
        <w:t>E. 2.4</w:t>
      </w:r>
    </w:p>
    <w:p>
      <w:r>
        <w:t>La recourante ne conteste pas ces éléments (cf. ad 52 de son mémoire). Elle semble cependant soutenir que cela ne suffirait pas, dès lors qu'aucun autre indice ne viendrait corroborer cette présomption (pas de grande différence d'âge, références culturelles communes, traitement médical entrepris pour avoir un enfant commun, consultations lors de la crise de 2008). Il ne résulte toutefois pas de leur absence que la présomption de fait - qui repose à titre principal sur l'enchaînement d'éléments objectifs - serait faible. En effet, les premiers juges ont relevé avec raison que celle-ci était en l'occurrence d'autant plus forte que moins de deux mois séparaient la décision de naturalisation de la séparation de fait, respectivement huit mois s'agissant de l'ouverture de la procédure de divorce. Au demeurant, les événements ultérieurs viennent confirmer cette appréciation. Ainsi la recourante a rencontré dès mars 2010 son futur mari, est tombée enceinte de celui-ci deux mois plus tard, puis a emménagé avec lui en novembre 2010. Par conséquent, le Tribunal administratif fédéral pouvait, sans violer le droit fédéral, retenir l'existence de la présomption de fait en raison de l'enchaînement rapide des événements.</w:t>
      </w:r>
    </w:p>
    <w:p>
      <w:r>
        <w:rPr>
          <w:b/>
        </w:rPr>
        <w:t>E. 2.5</w:t>
      </w:r>
    </w:p>
    <w:p>
      <w:r>
        <w:t>Selon la recourante, l'agression subie le 6 décembre 2009 - postérieurement à l'octroi de la nationalité - constituerait un événement extraordinaire susceptible d'expliquer une dégradation rapide du lien conjugal. Elle prétend à cet égard qu'aucun élément ne viendrait démontrer qu'antérieurement à la décision de naturalisation, elle ne croyait plus à la pérennité de son couple; une telle constatation ne pourrait en particulier pas résulter de la crise conjugale traversée en 2008. La juridiction précédente a retenu que l'épisode du 6 décembre 2009 n'était pas la seule cause de la désunion. Elle a ainsi rappelé les difficultés connues par le couple dès 2005, la crise traversée en 2008 qui avait abouti au dépôt devant l'autorité judiciaire d'une demande - certes ensuite retirée - tendant à la séparation du couple, le dépôt d'une plainte pénale contre son ex-époux alléguant l'existence de violences depuis 2006, une seconde requête de mesures protectrices de l'union conjugale une année et demi après la première, puis la demande en divorce peu de temps après. Selon les premiers juges, la séparation du couple apparaissait donc comme le résultat d'un long processus. Ce raisonnement ne prête pas le flanc à la critique. Certes, un couple peut connaître des crises. Toutefois, au regard des allégations de la recourante en lien avec des problèmes conjugaux dès 2005, des violences subies depuis 2006, ainsi que de la grave crise traversée dès mars 2008, la recourante ne peut pas prétendre avoir ignoré que les différends très importants opposant le couple depuis plusieurs années pouvaient aboutir à une séparation. Une telle issue avait d'ailleurs déjà été envisagée par la recourante. En effet, en septembre 2008 - alors même que l'instruction de sa requête de naturalisation était en cours depuis mars 2008 et supposait l'existence d'un couple stable -, elle a saisi l'autorité judiciaire d'une demande dans ce sens. Au vu de ces éléments, l'épisode du 6 décembre 2009 a accéléré le processus de rupture de l'union conjugale, mais ne l'a pas déclenché. Il découle des considérations précédentes que les conditions d'application de l' art. 41 LN sont réunies et que le Tribunal administratif fédéral n'a pas violé le droit fédéral en confirmant l'annulation de la naturalisation facilitée qui avait été octroyée à la recourante. Cette dernière n'a en effet pas réussi à renverser de manière vraisemblable la présomption d'absence de communauté conjugale stable et orientée vers l'avenir au moment de la signature de la déclaration commune et/ou lors de l'octroi de la nationalité, constatation qui résulte en particulier de l'enchaînement rapide des événements.</w:t>
      </w:r>
    </w:p>
    <w:p>
      <w:r>
        <w:rPr>
          <w:b/>
        </w:rPr>
        <w:t>E. 3</w:t>
      </w:r>
    </w:p>
    <w:p>
      <w:r>
        <w:t>Il s'ensuit que le recours est rejeté. La recourante, qui succombe, supporte les frais judiciaire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