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180/2009 vom 14. Oktober 2009</w:t>
      </w:r>
    </w:p>
    <w:p>
      <w:r>
        <w:t>Bundesgericht, 2009-10-14, DE</w:t>
      </w:r>
    </w:p>
    <w:p>
      <w:r>
        <w:rPr>
          <w:b/>
        </w:rPr>
        <w:t xml:space="preserve">Quelle: </w:t>
      </w:r>
      <w:r>
        <w:t>https://mcp.opencaselaw.ch/entscheid/bger_1C_180_2009</w:t>
      </w:r>
    </w:p>
    <w:p>
      <w:r>
        <w:t>FR: TF 1C 180/2009 du 14 octobre 2009</w:t>
      </w:r>
    </w:p>
    <w:p>
      <w:r>
        <w:t>IT: TF 1C 180/2009 del 14 ottobre 2009</w:t>
      </w:r>
    </w:p>
    <w:p>
      <w:pPr>
        <w:pStyle w:val="Heading2"/>
      </w:pPr>
      <w:r>
        <w:t>Regeste</w:t>
      </w:r>
    </w:p>
    <w:p>
      <w:r>
        <w:t>Baustopp, Kosten | Raumplanung und öffentliches Baurecht</w:t>
      </w:r>
    </w:p>
    <w:p>
      <w:pPr>
        <w:pStyle w:val="Heading2"/>
      </w:pPr>
      <w:r>
        <w:t>Erwägungen</w:t>
      </w:r>
    </w:p>
    <w:p>
      <w:r>
        <w:rPr>
          <w:b/>
        </w:rPr>
        <w:t>E. 1</w:t>
      </w:r>
    </w:p>
    <w:p>
      <w:r>
        <w:t>Gegen den angefochtenen, kantonal letztinstanzlichen Entscheid steht die Beschwerde in öffentlich-rechtlichen Angelegenheiten an das Bundesgericht grundsätzlich offen. Dabei kann offen bleiben, ob es sich beim vorläufigen Baustopp um einen Zwischenentscheid im Baubewilligungsverfahren oder um einen selbstständigen Entscheid gehandelt hat: Nachdem das Baubewilligungsverfahren inzwischen abgeschlossen worden ist und somit ein Endentscheid vorliegt, können zuvor ergangene Zwischenentscheide noch angefochten werden, soweit sie sich auf den Inhalt des Endentscheids auswirken ( Art. 93 Abs. 3 BGG ); gleiches gilt, sofern der Zwischenentscheid nur noch in Bezug auf die Kosten- und Entschädigungsfolgen angefochten wird ( BGE 133 V 645 E. 2.2 in fine S. 648; Urteil 2C_759/2008 vom 6. März 2009 E. 2.7). Der Beschwerdeführer, auf dessen Rechtsmittel im kantonalen Verfahren nicht eingetreten wurde, ist zur Beschwerde legitimiert, soweit er einen materiellen Entscheid des Verwaltungsgerichts verlangt ( Art. 89 Abs. 1 BGG ). Auf die rechtzeitig erhobene Beschwerde ist daher grundsätzlich einzutreten, vorbehältlich rechtsgenügend begründeter Rügen ( Art. 106 Abs. 2 BGG i.V.m. Art. 42 Abs. 2 BGG ). Nicht einzutreten ist dagegen auf seine Rügen in der Sache und seine Anträge auf Aufhebung der Kostenentscheide des Gemeinderats Schwellbrunn und des DBU: Nachdem das Verwaltungsgericht auf die dagegen gerichtete Beschwerde nicht eingetreten war, liegt insoweit noch kein kantonal letztinstanzlicher Entscheid vor.</w:t>
      </w:r>
    </w:p>
    <w:p>
      <w:r>
        <w:rPr>
          <w:b/>
        </w:rPr>
        <w:t>E. 2</w:t>
      </w:r>
    </w:p>
    <w:p>
      <w:r>
        <w:t>Das Verwaltungsgericht trat auf die Beschwerde nicht ein, weil die Baubewilligung bereits im Zeitpunkt der Beschwerdeerhebung rechtskräftig und damit der vorläufige Baustopp hinfällig gewesen sei, weshalb es an einem Anfechtungsobjekt fehle. Der Beschwerdeführer räumt ein, dass das Verfahren betreffend Baustopp durch den rechtskräftigen Entscheid des Verwaltungsgerichts über die Baubewilligung gegenstandslos geworden sei. Er macht jedoch geltend, er habe sich mit seiner Beschwerde nicht mehr gegen den vorläufigen Baustopp, sondern ausschliesslich gegen die noch offenen Kostensprüche des Gemeinderats Schwellbrunn vom 28. November 2007 und des DBU vom 4. März 2008 gewendet. Er beruft sich auf die bundesgerichtliche Rechtsprechung, wonach ein Betroffener gegen einen Kostenentscheid Beschwerde führen könne, auch wenn ihm die Legitimation zur Anfechtung des Hauptsachenentscheids fehle. Das Verwaltungsgericht hätte deshalb auf die Beschwerde eintreten und über die Kostensprüche urteilen müssen.</w:t>
      </w:r>
    </w:p>
    <w:p>
      <w:r>
        <w:rPr>
          <w:b/>
        </w:rPr>
        <w:t>E. 3</w:t>
      </w:r>
    </w:p>
    <w:p>
      <w:r>
        <w:t>Der Beschwerdeführer macht nicht die willkürliche Anwendung von kantonalem Prozessrecht geltend, sondern beruft sich einzig auf die bundesgerichtliche Rechtsprechung zur Legitimation vor Bundesgericht. Insofern ist lediglich zu prüfen, ob das Verwaltungsgericht die Beschwerdebefugnis enger gefasst hat als diejenige vor Bundesgericht ( Art. 89 Abs. 1 BGG ) und damit Art. 111 BGG verletzt hat.</w:t>
      </w:r>
    </w:p>
    <w:p>
      <w:r>
        <w:rPr>
          <w:b/>
        </w:rPr>
        <w:t>E. 3.1</w:t>
      </w:r>
    </w:p>
    <w:p>
      <w:r>
        <w:t>Nach ständiger bundesgerichtlicher Rechtsprechung kann ein Betroffener gegen einen Kostenentscheid Beschwerde führen, auch wenn ihm die Legitimation zur Anfechtung des Hauptentscheids fehlt, da er durch die Auferlegung von Gerichts- und/oder Parteikosten persönlich und unmittelbar in seinen Interessen betroffen ist ( Art. 89 Abs. 1 BGG ; so schon BGE 117 Ia 251 E. 1b S. 255 mit Hinweisen). Allerdings kann er nur geltend machen, die Kostenverlegung sei aus einem anderen Grund als dem blossen Umstand, dass er in der Hauptsache unterlag, verfassungs- oder bundesrechtswidrig ( BGE 109 Ia 90 ). Die Belastung mit Kosten verschafft ihm somit keine Möglichkeit, indirekt, über den Kostenentscheid, eine Überprüfung des Entscheids in der Hauptsache zu erlangen ( BGE 100 Ia 298 E. 4 S. 299). Gleiches gilt, wenn ein Beschwerdeführer kein aktuelles Interesse mehr an der Anfechtung des Hauptsachenentscheids hat. Auch in diesen Fällen ist er zwar noch zur Anfechtung des vorinstanzlichen Kostenentscheids legitimiert, jedoch nur noch aus Gründen, die mit dem Entscheid in der Hauptsache in keinem unmittelbaren Zusammenhang stehen (Urteile 2P.275/2004 vom 16. März 2005 E. 6.2; 2P.214 und 215/2001 vom 30. Januar 2002 E. 3.3).</w:t>
      </w:r>
    </w:p>
    <w:p>
      <w:r>
        <w:rPr>
          <w:b/>
        </w:rPr>
        <w:t>E. 3.2</w:t>
      </w:r>
    </w:p>
    <w:p>
      <w:r>
        <w:t>Mit seiner Beschwerde an das Verwaltungsgericht verlangte der Beschwerdeführer, der Entscheid des DBU vom 4. März 2008, die Verfügung des Gemeinderats Schwellbrunn vom 28. November 2007 sowie die Verfügung der Baukommission Schwellbrunn betreffend Baustopp vom 24. Oktober 2007 (die ohne Kosten erging) seien "vollumfänglich" aufzuheben. Die Kostenentscheide wurden weder im Antrag (z.B. in Form eines Eventualantrags) noch in der Begründung der Beschwerde besonders erwähnt. In der Beschwerdebegründung legte der Beschwerdeführer vielmehr dar, weshalb die Anordnung des vorläufigen Baustopps rechtswidrig gewesen sei. Damit erhob er gerade keine eigenständigen, vom Ausgang der Hauptsache unabhängigen, Rügen betreffend die Kostenentscheide, sondern verlangte eine Überprüfung der Hauptsache, d.h. des vorläufigen Baustopps, durch das Verwaltungsgericht.</w:t>
      </w:r>
    </w:p>
    <w:p>
      <w:r>
        <w:rPr>
          <w:b/>
        </w:rPr>
        <w:t>E. 3.3</w:t>
      </w:r>
    </w:p>
    <w:p>
      <w:r>
        <w:t>Lediglich im letzten Absatz der Verwaltungsgerichtsbeschwerde findet sich ein Satz, wonach die Ablehnung der unentgeltlichen Rechtspflege wegen Aussichtslosigkeit durch das DBU haltlos gewesen sei. Allerdings macht der Beschwerdeführer vor Bundesgericht nicht geltend, dieser Satz hätte vom Verwaltungsgericht als selbständige Rüge gegen die Versagung der unentgeltlichen Rechtspflege im Rekursverfahren vor dem DBU verstanden werden müssen. Insofern fehlt es diesbezüglich bereits an einer genügenden Beschwerdebegründung (Art. 106 Abs. 2 i.V.m. Art. 42 Abs. 2 BGG ). Der erwähnte Satz am Ende der Beschwerdebegründung ist auch nicht eindeutig, mündet er doch (am Ende des Absatzes) in das Begehren um Zusprechung einer Parteientschädigung. Hätte der Beschwerdeführer die Gewährung der unentgeltlichen Rechtspflege im Rekursverfahren erreichen wollen, hätte er sich auch nicht mit einem Antrag auf Aufhebung der vorinstanzlichen Entscheid begnügen dürfen, sondern hätte einen positiven Entscheid des Verwaltungsgerichts zu dieser Frage oder die Rückweisung der Sache an das DBU zu neuem Entscheid über die unentgeltliche Rechtspflege verlangen müssen.</w:t>
      </w:r>
    </w:p>
    <w:p>
      <w:r>
        <w:rPr>
          <w:b/>
        </w:rPr>
        <w:t>E. 4</w:t>
      </w:r>
    </w:p>
    <w:p>
      <w:r>
        <w:t>Aufgrund aller Umstände durfte das Verwaltungsgericht deshalb davon ausgehen, dass der Beschwerdeführer einen Entscheid über den vorläufigen Baustopp verlangte und keine eigenständigen - vom Entscheid in der Hauptsache unabhängige - Rügen gegen die Kostenentscheide erhob. Es durfte deshalb mangels aktuellem Rechtsschutzinteresse auf die Beschwerde nicht eintreten, ohne Bundesrecht zu verletzen. Die Beschwerde erweist sich somit als unbegründet und ist abzuweisen, soweit darauf einzutreten ist. Dagegen erschien die Beschwerde nicht als von vornherein aussichtslos, weshalb dem Beschwerdeführer die unentgeltliche Rechtspflege zu gewähren ist und keine Kosten zu erheben sind ( Art. 64 Abs. 1 BGG ). Eine Parteientschädigung kann dem unterliegenden Beschwerdeführer dagegen nicht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