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180/2007 vom 12. Oktober 2007</w:t>
      </w:r>
    </w:p>
    <w:p>
      <w:r>
        <w:t>Bundesgericht, 2007-10-12, FR</w:t>
      </w:r>
    </w:p>
    <w:p>
      <w:r>
        <w:rPr>
          <w:b/>
        </w:rPr>
        <w:t xml:space="preserve">Quelle: </w:t>
      </w:r>
      <w:r>
        <w:t>https://mcp.opencaselaw.ch/entscheid/bger_1C_180_2007</w:t>
      </w:r>
    </w:p>
    <w:p>
      <w:r>
        <w:t>FR: TF 1C 180/2007 du 12 octobre 2007</w:t>
      </w:r>
    </w:p>
    <w:p>
      <w:r>
        <w:t>IT: TF 1C 180/2007 del 12 ottobre 2007</w:t>
      </w:r>
    </w:p>
    <w:p>
      <w:pPr>
        <w:pStyle w:val="Heading2"/>
      </w:pPr>
      <w:r>
        <w:t>Regeste</w:t>
      </w:r>
    </w:p>
    <w:p>
      <w:r>
        <w:t>autorisation d'aliéner des appartements | Aménagement du territoire et droit public des constructions</w:t>
      </w:r>
    </w:p>
    <w:p>
      <w:pPr>
        <w:pStyle w:val="Heading2"/>
      </w:pPr>
      <w:r>
        <w:t>Erwägungen</w:t>
      </w:r>
    </w:p>
    <w:p>
      <w:r>
        <w:rPr>
          <w:b/>
        </w:rPr>
        <w:t>E. 1</w:t>
      </w:r>
    </w:p>
    <w:p>
      <w:r>
        <w:t>Le présent recours est soumis aux règles de la loi fédérale sur le Tribunal fédéral (LTF), la décision attaquée ayant été rendue après le 1er janvier 2007 ( art. 132 al. 1 LTF ).</w:t>
      </w:r>
    </w:p>
    <w:p>
      <w:r>
        <w:rPr>
          <w:b/>
        </w:rPr>
        <w:t>E. 2</w:t>
      </w:r>
    </w:p>
    <w:p>
      <w:r>
        <w:t>Dirigé contre une décision fondée sur des normes cantonales de droit public, le présent recours est recevable comme recours en matière de droit public selon les art. 82 ss LTF , dès lors que la voie du recours devant le Tribunal administratif fédéral n'est pas ouverte. Par ailleurs, aucune des exceptions à l' art. 83 LTF n'est réalisée. A lui seul, l'intitulé erroné du recours ne nuit pas aux recourants ( ATF 126 II 506 consid. 1b p. 509 et les arrêts cités).</w:t>
      </w:r>
    </w:p>
    <w:p>
      <w:r>
        <w:rPr>
          <w:b/>
        </w:rPr>
        <w:t>E. 3</w:t>
      </w:r>
    </w:p>
    <w:p>
      <w:r>
        <w:t>L'intimée met en doute la recevabilité du recours au motif que le représentant des recourants ne serait, à sa connaissance, pas un avocat autorisé à pratiquer la représentation en justice en vertu de la loi du 23 juin 2000 sur les avocats. L'intimée perd cependant de vue que cette exigence, prescrite par l' art. 40 al. 1 LTF , ne s'applique qu'en matière civile et pénale. A.________ ayant justifié de ses pouvoirs par une procuration ( art. 40 al. 2 LTF ), il peut dès lors valablement représenter l'ensemble des recourants.</w:t>
      </w:r>
    </w:p>
    <w:p>
      <w:r>
        <w:rPr>
          <w:b/>
        </w:rPr>
        <w:t>E. 4</w:t>
      </w:r>
    </w:p>
    <w:p>
      <w:r>
        <w:t>L' art. 39 al. 1 LTF dispose désormais que les parties sont tenues d'indiquer au Tribunal fédéral leur domicile ou leur siège. Il est vrai qu'en l'espèce, le mémoire adressé au Tribunal fédéral ne mentionne pas les adresses des différents recourants, mis à part celle de leur représentant, auprès duquel ils ont élu domicile. L'intimée y voit un motif d'irrecevabilité du recours. En l'espèce, ces informations ne sont pas déterminantes; c'est pourquoi le Tribunal fédéral n'a pas imparti aux recourants un délai approprié pour remédier à cette irrégularité, comme le lui aurait permis l' art. 42 al. 5 LTF .</w:t>
      </w:r>
    </w:p>
    <w:p>
      <w:r>
        <w:rPr>
          <w:b/>
        </w:rPr>
        <w:t>E. 5</w:t>
      </w:r>
    </w:p>
    <w:p>
      <w:r>
        <w:t>Au cas où l'autorisation est délivrée, celle-ci peut être soumise à certaines conditions concernant le relogement du locataire. L'art. 13 du règlement d'application de la loi sur les démolitions, transformations et rénovations de maisons d'habitation du 29 avril 1996 (RDTR) précise encore que: Art. 13 Pesée des intérêts 1 Dans le cadre de l'examen de la requête en autorisation, le département procède à la pesée des intérêts publics et privés en présence. Acquisition par le locataire en place 2 [...] Intérêt privé prépondérant 3 L'intérêt privé est présumé l'emporter sur l'intérêt public lorsque le propriétaire doit vendre l'appartement pour l'un des motifs suivants: a) nécessité de liquider un régime matrimonial ou une succession; b) nécessité de satisfaire aux exigences d'un plan de désendettement; c) prise d'un nouveau domicile en dehors du canton. La politique prévue par la LDTR procède d'un intérêt public important ( ATF 128 I 206 consid. 5.2.4 p. 211 s., 113 Ia 126 consid. 7a p. 134, 111 Ia 23 consid. 3a p. 26 et les arrêts cités).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consid. 7b/aa p. 137).</w:t>
      </w:r>
    </w:p>
    <w:p>
      <w:r>
        <w:rPr>
          <w:b/>
        </w:rPr>
        <w:t>E. 5.1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w:t>
      </w:r>
    </w:p>
    <w:p>
      <w:r>
        <w:rPr>
          <w:b/>
        </w:rPr>
        <w:t>E. 5.2</w:t>
      </w:r>
    </w:p>
    <w:p>
      <w:r>
        <w:t>Selon la jurisprudence, une décision viole le droit à l'égalité de traitement ancré à l' art. 8 al. 1 Cst. ,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w:t>
      </w:r>
    </w:p>
    <w:p>
      <w:r>
        <w:rPr>
          <w:b/>
        </w:rPr>
        <w:t>E. 5.3</w:t>
      </w:r>
    </w:p>
    <w:p>
      <w:r>
        <w:t>La loi genevoise sur les démolitions, transformations et rénovations de maisons d'habitation du 25 janvier 1996 (ci-après: LDTR) a pour but la préservation de l'habitat et des conditions de vie existants, en prévoyant notamment des restrictions quant à l'aliénation des appartements destinés à la location ( art. 1 al. 2 let . c LDTR). Ces mesures figurent à l'art. 39 de la loi, dont la teneur est la suivante: Art. 39 Aliénation 1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Motifs de refus 2 Le département refuse l'autorisation lorsqu'un motif prépondérant d'intérêt public ou d'intérêt général s'y oppose. L'intérêt public et l'intérêt général résident dans le maintien, en période de pénurie de logements, de l'affectation locative des appartements loués. Exception 3 Afin de prévenir le changement d'affectation progressif d'un immeuble locatif, le désir d'un locataire, occupant effectivement son logement depuis trois ans au moins, d'acquérir ledit logement n'est présumé l'emporter sur l'intérêt public que si les conditions suivantes sont réunies: - 60 % des locataires en place acceptent formellement cette acquisition; dans ce cas cependant, les locataires restants devront obtenir la garantie de ne pas être contraints d'acheter leur appartement ou de partir. Motifs d'autorisation 4 Le département autorise l'aliénation d'un appartement si celui-ci: a) a été dès sa construction soumis au régime de la propriété par étages ou à une forme de propriété analogue; b) était, le 30 mars 1985, soumis au régime de la propriété par étages ou à une forme de propriété analogue et qu'il avait déjà été cédé de manière individualisée; c) n'a jamais été loué;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 Relogement du locataire</w:t>
      </w:r>
    </w:p>
    <w:p>
      <w:r>
        <w:rPr>
          <w:b/>
        </w:rPr>
        <w:t>E. 5.4</w:t>
      </w:r>
    </w:p>
    <w:p>
      <w:r>
        <w:t>En l'occurrence, les recourants ne soutiennent pas que l'un ou l'autre des motifs d'autorisation prévus à l'art. 39 al. 4 LDTR serait réalisé. Ils ne nient pas davantage que les appartements entrent dans des catégories de logements où sévit la pénurie. Ils critiquent uniquement la pesée des intérêts à laquelle le Tribunal administratif s'est livré.</w:t>
      </w:r>
    </w:p>
    <w:p>
      <w:r>
        <w:rPr>
          <w:b/>
        </w:rPr>
        <w:t>E. 5.5</w:t>
      </w:r>
    </w:p>
    <w:p>
      <w:r>
        <w:t>Le Tribunal administratif a considéré que les intérêts privés mis en avant par les recourants, à savoir leur organisation selon leurs liens relationnels et la limitation de leurs engagements de codébiteurs solidaires, avaient un poids certain. Il les a cependant nuancés au motif que les recourants avaient acquis le lot d'appartements en pleine connaissance de cause. De plus, le risque financier dont ils se prévalaient était de nature purement hypothétique et lié à l'opération qu'ils avaient entreprise. A cet égard, la situation était différente de celle décrite dans l'ATA/852/2004, où la division du lot était nécessaire pour dégager des fonds propres nécessaires à l'aménagement d'appartements dans les combles dans un autre immeuble. Pour le surplus, il a estimé que l'intérêt public n'était pas directement mis en cause, la division du lot en quatre, ne modifiant pas, en soi, le caractère locatif des appartements. A cet égard, les critiques de l'Asloca selon lesquelles il s'agirait d'un processus visant à atteindre progressivement une individualisation des logements en question ne relevaient à ce stade que du procès d'intention. Le département avait d'ailleurs assuré qu'il serait particulièrement attentif si une autorisation visant à diviser l'un ou l'autre des lots en appartements individuels était requise. La cour cantonale a cependant estimé que la division en lots diminuerait concrètement la protection du parc locatif en facilitant la vente à des locataires en place. Seul l'accord de trois, voire de deux locataires serait nécessaire, alors qu'actuellement tous les locataires en place devraient approuver une telle vente.</w:t>
      </w:r>
    </w:p>
    <w:p>
      <w:r>
        <w:rPr>
          <w:b/>
        </w:rPr>
        <w:t>E. 5.6</w:t>
      </w:r>
    </w:p>
    <w:p>
      <w:r>
        <w:t>La jurisprudence cantonale, affirme, il est vrai, que la vente en bloc doit être préférée à la vente par unités séparées, ce procédé-là ne mettant en principe pas en péril les buts de la LDTR (arrêt du Tribunal administratif genevois du 15 janvier 2002 ATA/28/2002 consid. 2c). Le Tribunal fédéral a lui-même eu l'occasion de dire que la LDTR s'appliquait lorsqu'un appartement était individualisé, puis vendu, mais qu'elle ne saurait empêcher la vente en bloc de plusieurs appartements à un même acquéreur, car, dans ce cas, le risque de voir ces appartements sortir du marché locatif était pratiquement nul (arrêt du Tribunal fédéral 1P.2/1999 du 19 avril 1999 consid. 2f).</w:t>
      </w:r>
    </w:p>
    <w:p>
      <w:r>
        <w:rPr>
          <w:b/>
        </w:rPr>
        <w:t>E. 5.7</w:t>
      </w:r>
    </w:p>
    <w:p>
      <w:r>
        <w:t>On ne saurait cependant en déduire qu'en cas de vente en bloc, les parties sont dispensées de justifier d'un intérêt privé particulier. Bien au contraire, cet intérêt doit être d'autant plus important en l'espèce, que la vente des lots se fait à une pluralité d'acquéreurs. Dans chaque lot, chaque appartement correspond à un seul propriétaire. De plus, la commission a pertinemment souligné que la valeur des appartements ainsi que les fonds propres nécessaires à leur acquisition avaient été individualisés. La situation se présente certes quelque peu différemment suite à la vente des parts de certains propriétaires aux autres membres de la société simple. Il n'en demeure pas moins qu'un lot comprend encore autant de propriétaires que d'appartements. En l'occurrence, les intérêts que les recourants font valoir, s'ils sont compréhensibles, relèvent de l'opportunité. Le partage-attribution envisagé ne répond en effet à aucune nécessité. Au demeurant, comme le soulève la cour cantonale, les motifs invoqués existaient déjà au moment de l'acquisition des appartements. Les recourants avaient par conséquent décidé de s'accommoder de cette situation. En l'absence de circonstances nouvelles, on discerne mal comment ces intérêts pourraient s'avérer soudainement déterminants. Enfin, on ne saurait reprocher au Tribunal administratif d'avoir considéré que la situation n'était pas comparable à celle jugée dans l'ATA/852/2004, puisque dans ce cas, le vendeur avait besoin de fonds propres pour des travaux visant à terme à offrir au marché genevois deux appartements nouveaux, destinés à la location. Le vendeur avait du reste déjà obtenu une autorisation pour ce faire. Les circonstances ne sont donc en rien similaires. Dans ces conditions, les intérêts dont se prévalent les recourants relevant de la simple convenance, ils ne sauraient justifier l'octroi de l'autorisation requise.</w:t>
      </w:r>
    </w:p>
    <w:p>
      <w:r>
        <w:rPr>
          <w:b/>
        </w:rPr>
        <w:t>E. 5.8</w:t>
      </w:r>
    </w:p>
    <w:p>
      <w:r>
        <w:t>Le Tribunal administratif a encore ajouté que l'intérêt public était en l'espèce particulièrement important, le partage-attribution étant de nature à faciliter les ventes aux locataires. Contrairement à ce qu'il affirme, en l'absence d'autorisation, si un locataire devait vouloir acquérir son logement, ce ne serait non pas la totalité des locataires qui devrait formellement manifester son accord, mais les 60 % des locataires en place des quinze appartements. Dans tous les cas, il s'agit d'un pourcentage difficile à atteindre. En outre, l'intérêt privé du locataire désirant acquérir son logement est présumé plus important que l'intérêt public. L'art. 39 al. 3 LDTR ne fait cependant qu'instaurer une présomption. L'autorité n'est donc pas dispensée de procéder librement à une pesée complète des intérêts en présence. Il n'est dès lors pas exclu que la présomption puisse être renversée (arrêt 1P.654/1992 du 17 novembre 1993 consid. 5b non publié à l' ATF 119 Ia 348 ; arrêts 1P.664/1999 et 1P.686/1999 du 1er septembre 2000 consid. 9b). L'incidence du partage-attribution sur l'application de l'art. 39 al. 3 LDTR n'apparaît donc pas décisive, contrairement à ce qu'a jugé le Tribunal administratif. Il n'en résulte cependant pas l'annulation de la décision attaquée pour ce motif, la décision n'apparaissant pas arbitraire dans son résultat. La faiblesse de l'intérêt privé invoqué par les recourants apparaît en effet, à la lumière des explications qui précèdent, suffisante pour refuser sans arbitraire l'autorisation demandée.</w:t>
      </w:r>
    </w:p>
    <w:p>
      <w:r>
        <w:rPr>
          <w:b/>
        </w:rPr>
        <w:t>E. 6</w:t>
      </w:r>
    </w:p>
    <w:p>
      <w:r>
        <w:t>Il s'ensuit que le recours doit être rejeté. Etant donné que l'aliénation en cours d'instance de l'objet du litige n'influence pas la qualité pour agir ou défendre devant le Tribunal fédéral ( art. 21 al. 2 PCF par renvoi de l' art. 71 LTF ; ATF 116 Ia 221 consid. 1b p. 223) et que G.________, H.________ et J.________, L.________ et M.________ n'ont pas formellement retiré leur recours, il y a lieu de mettre les frais judiciaires à la charge solidaire des recourants qui succombent ( art. 65 et 66 LTF ). Les recourants verseront en outre, solidairement entre eux, une indemnité de dépens à l'intimée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