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1C_17/2014 vom 19. September 2014</w:t>
      </w:r>
    </w:p>
    <w:p>
      <w:r>
        <w:t>Bundesgericht, 2014-09-19, DE</w:t>
      </w:r>
    </w:p>
    <w:p>
      <w:r>
        <w:rPr>
          <w:b/>
        </w:rPr>
        <w:t xml:space="preserve">Quelle: </w:t>
      </w:r>
      <w:r>
        <w:t>https://mcp.opencaselaw.ch/entscheid/bger_1C_17_2014</w:t>
      </w:r>
    </w:p>
    <w:p>
      <w:r>
        <w:t>FR: TF 1C_17/2014 du 19 septembre 2014</w:t>
      </w:r>
    </w:p>
    <w:p>
      <w:r>
        <w:t>IT: TF 1C_17/2014 del 19 settembre 2014</w:t>
      </w:r>
    </w:p>
    <w:p>
      <w:pPr>
        <w:pStyle w:val="Heading2"/>
      </w:pPr>
      <w:r>
        <w:t>Erwägungen</w:t>
      </w:r>
    </w:p>
    <w:p>
      <w:r>
        <w:rPr>
          <w:b/>
        </w:rPr>
        <w:t>E. 1</w:t>
      </w:r>
    </w:p>
    <w:p>
      <w:r>
        <w:t>Der angefochtene Entscheid betrifft eine öffentlich-rechtliche Angelegenheit, die der Beschwerde in öffentlich-rechtlichen Angelegenheiten im Sinne von Art. 82 ff. BGG unterliegt. Ausschlussgründe nach Art. 83 ff. BGG sind nicht erfüllt. Die Beschwerdeführer sind als betroffene Grundeigentümer zur Beschwerde legitimiert ( Art. 89 Abs. 1 BGG ).</w:t>
      </w:r>
    </w:p>
    <w:p>
      <w:r>
        <w:rPr>
          <w:b/>
        </w:rPr>
        <w:t>E. 1.1</w:t>
      </w:r>
    </w:p>
    <w:p>
      <w:r>
        <w:t>Mit dem angefochtenen Entscheid wird die Kostenverteilungsverfügung vom 12. Oktober 2009 aufgehoben und die Angelegenheit an das Departement Bau, Verkehr, Umwelt zurückgewiesen, weil die Bemessung des Kostenanteils insbesondere der E.________ Immobilien AG noch von den neu zu überprüfenden Sachverhaltselementen und allfälligen weiteren Verhaltensstörern abhänge. Damit wurde die Kostenverteilungsverfügung, die dem angefochtenen Entscheid zugrunde lag, in vollem Umfang aufgehoben. Es besteht zurzeit keine Anordnung, welche den Kostenanteil der Beschwerdeführer verbindlich festlegt. Somit liegt noch kein endgültiger Entscheid über die Rechte und Pflichten der Grundeigentümer vor.</w:t>
      </w:r>
    </w:p>
    <w:p>
      <w:r>
        <w:rPr>
          <w:b/>
        </w:rPr>
        <w:t>E. 1.2</w:t>
      </w:r>
    </w:p>
    <w:p>
      <w:r>
        <w:t>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 BGE 135 II 30 E. 1.3.2 S. 34). Von einem nicht wieder gutzumachenden Nachteil im Sinne von Art. 93 Abs. 1 lit. a BGG wird gesprochen, wenn dieser auch durch ein nachfolgendes günstiges Urteil nicht oder nicht mehr vollständig behoben werden kann ( BGE 135 I 261 E. 1.2 S. 263 mit Hinweisen). Kein nicht wieder gutzumachender Nachteil gemäss Art. 93 Abs. 1 lit. a BGG liegt nach der Praxis des Bundesgerichts vor, wenn es einer Partei bloss darum geht, eine Verlängerung oder Verteuerung des Verfahrens zu vermeiden ( BGE 135 II 30 E. 1.3.4 S. 36).</w:t>
      </w:r>
    </w:p>
    <w:p>
      <w:r>
        <w:rPr>
          <w:b/>
        </w:rPr>
        <w:t>E. 1.3</w:t>
      </w:r>
    </w:p>
    <w:p>
      <w:r>
        <w:t>Nachdem die umstrittene Kostenverteilungsverfügung mit dem angefochtenen Entscheid aufgehoben und die Sache an das zuständige Departement zur weiteren Prüfung überwiesen wurde, besteht keine die Beschwerdeführer belastende Anordnung mehr, die vom Bundesgericht überprüft werden könnte. Inwiefern den Beschwerdeführern aus der Rückweisung der Sache an das Departement ein nicht wieder gutzumachender Nachteil entstehen könnte, ist nicht ersichtlich. Auf die Beschwerde ist somit praxisgemäss nicht einzutreten. Soweit mit dem angefochtenen Entscheid bestimmte Fragen wie die Verfahrenskosten zulasten der Beschwerdeführer im kantonalen Verfahren endgültig beurteilt sein sollten, so kann dieser auch nach Vorliegen des Endentscheids noch angefochten werden, soweit er sich auf dessen Inhalt auswirkt ( Art. 93 Abs. 3 BGG ).</w:t>
      </w:r>
    </w:p>
    <w:p>
      <w:r>
        <w:rPr>
          <w:b/>
        </w:rPr>
        <w:t>E. 2</w:t>
      </w:r>
    </w:p>
    <w:p>
      <w:r>
        <w:t>Auf die Beschwerde ist somit nicht einzutreten. Bei diesem Ausgang sind die Gerichtskosten den Beschwerdeführern aufzuerlegen ( Art. 66 Abs. 1 BGG ). Diese haben die Beschwerdegegnerin angemessen zu entschädigen ( Art. 68 BGG ). Den obsiegenden staatlichen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