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178/2018 vom 30. August 2018</w:t>
      </w:r>
    </w:p>
    <w:p>
      <w:r>
        <w:t>Bundesgericht, 2018-08-30, DE</w:t>
      </w:r>
    </w:p>
    <w:p>
      <w:r>
        <w:rPr>
          <w:b/>
        </w:rPr>
        <w:t xml:space="preserve">Quelle: </w:t>
      </w:r>
      <w:r>
        <w:t>https://mcp.opencaselaw.ch/entscheid/bger_1C_178_2018</w:t>
      </w:r>
    </w:p>
    <w:p>
      <w:r>
        <w:t>FR: TF 1C 178/2018 du 30 août 2018</w:t>
      </w:r>
    </w:p>
    <w:p>
      <w:r>
        <w:t>IT: TF 1C 178/2018 del 30 agosto 2018</w:t>
      </w:r>
    </w:p>
    <w:p>
      <w:pPr>
        <w:pStyle w:val="Heading2"/>
      </w:pPr>
      <w:r>
        <w:t>Regeste</w:t>
      </w:r>
    </w:p>
    <w:p>
      <w:r>
        <w:t>Warnungsentzug des Führerausweises | Strassenbau und Strassenverkehr</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Der Beschwerdeführer ist als Inhaber des Führerausweises und direkter Adressat des angefochtenen Entscheids gemäss Art. 89 Abs. 1 BGG zur Beschwerde befugt. Die übrigen Sachurteilsvoraussetzungen geben zu keinen Bemerkungen Anlass, weshalb grundsätzlich auf die Beschwerde einzutreten ist.</w:t>
      </w:r>
    </w:p>
    <w:p>
      <w:r>
        <w:rPr>
          <w:b/>
        </w:rPr>
        <w:t>E. 1.2</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Eine qualifizierte Rügepflicht gilt hinsichtlich der Verletzung von Grundrechten. Insoweit prüft das Bundesgericht nur klar und detailliert erhobene und, soweit möglich, belegte Rügen ( Art. 106 Abs. 2 BGG ; BGE 143 II 283 E. 1.2.2 S. 286 mit Hinweisen).</w:t>
      </w:r>
    </w:p>
    <w:p>
      <w:r>
        <w:rPr>
          <w:b/>
        </w:rPr>
        <w:t>E. 2.1</w:t>
      </w:r>
    </w:p>
    <w:p>
      <w:r>
        <w:t>Nach Art. 16 Abs. 2 SVG wird nach Widerhandlungen gegen die Strassenverkehrsvorschriften, bei denen das Verfahren nach dem Ordnungsbussengesetz vom 24. Juni 1970 (SR 741.03) ausgeschlossen ist, der Lernfahr- oder Führerausweis entzogen oder eine Verwarnung ausgesprochen. Bei der Festsetzung der Dauer des Entzugs sind die Umstände des Einzelfalls zu berücksichtigen, namentlich die Gefährdung der Verkehrssicherheit, das Verschulden, der Leumund als Motorfahrzeugführer sowie die berufliche Notwendigkeit, ein Motorfahrzeug zu führen; die Mindestentzugsdauer darf jedoch, von einer hier nicht interessierenden Ausnahme abgesehen, nicht unterschritten werden ( Art. 16 Abs. 3 SVG ). Art. 16a SVG definiert die leichten Widerhandlungen gegen das Strassenverkehrsrecht und deren Rechtsfolgen. Art. 16b SVG enthält dieselbe Regelung für mittelschwere und Art. 16c SVG für schwere Widerhandlungen. Art. 16c Abs. 2 SVG sieht eine Kaskadenfolge bei der gesetzlichen Mindestdauer des Entzugs eines Ausweises bei einer schweren Widerhandlung vor. Als mildeste Massnahme wird er, wenn kein qualifizierter Tatbestand vorliegt, für mindestens drei Monate entzogen (lit. a); die Dauer beträgt mindestens sechs Monate, wenn in den vorangegangenen fünf Jahren der Ausweis einmal wegen einer mittelschweren Widerhandlung entzogen war (lit. b), und zwölf Monate, wenn in den vorangegangenen fünf Jahren der Ausweis einmal wegen einer schweren Widerhandlung oder zweimal wegen mittelschweren Widerhandlungen entzogen war (lit. c); bei noch schwereren Vortaten ist der Ausweis für unbestimmte Zeit, mindestens aber für zwei Jahre bzw. für immer zu entziehen (lit. d und e).</w:t>
      </w:r>
    </w:p>
    <w:p>
      <w:r>
        <w:rPr>
          <w:b/>
        </w:rPr>
        <w:t>E. 2.2</w:t>
      </w:r>
    </w:p>
    <w:p>
      <w:r>
        <w:t>Der vorliegende, vom Beschwerdeführer eingestandene Tatvorwurf des Führens eines Motorfahrzeuges ohne Führerausweis stellt unbestrittenermassen eine schwere Widerhandlung im Sinne von Art. 16c Abs. 1 lit. f SVG dar. Der Beschwerdeführer bestreitet sodann auch nicht, dass die Mindestentzugsdauer gemäss Art. 16c Abs. 2 lit. c SVG zwölf Monate betrage, da die erneute schwere Widerhandlung innerhalb der Fünfjahresfrist seit dem vorangegangenen Führerausweisentzug erfolgte. Im Übrigen kenne er die bundesgerichtliche Rechtsprechung, wonach die Mindestentzugsdauer nicht unterschritten werden dürfe. Er ist jedoch der Auffassung, die Entzugsdauer von einem Jahr treffe ihn in einer unverhältnismässigen und unzumutbaren Härte, da er aus beruflichen Gründen auf den Führerausweis angewiesen sei. Er sei als Bodenleger selbständig erwerbstätig und habe keine Angestellten, daher käme der verfügte Ausweisentzug einem Berufsverbot gleich. Aus diesem Grund ersuche er um eine Anpassung der Vollzugsform des Entzugs, sodass er weiterhin zu beruflichen Zwecken ein Fahrzeug führen dürfe.</w:t>
      </w:r>
    </w:p>
    <w:p>
      <w:r>
        <w:rPr>
          <w:b/>
        </w:rPr>
        <w:t>E. 3.1</w:t>
      </w:r>
    </w:p>
    <w:p>
      <w:r>
        <w:t>Nach ständiger bundesgerichtlicher Rechtsprechung ist ein auf die Freizeit beschränkter Führerausweisentzug unzulässig, weil nach den Vorstellungen des Gesetzgebers zur Erreichung der beabsichtigten erzieherischen Wirkung des Warnungsentzugs der fehlbare Lenker für eine gewisse Zeit vollständig vom Führen eines Motorfahrzeugs ausgeschlossen werden soll ( BGE 128 II 173 E. 3b S. 175 f.; vgl. auch Urteil 1C_442/2017 vom 26. April 2018 E. 5.1; je mit Hinweisen).</w:t>
      </w:r>
    </w:p>
    <w:p>
      <w:r>
        <w:rPr>
          <w:b/>
        </w:rPr>
        <w:t>E. 3.2</w:t>
      </w:r>
    </w:p>
    <w:p>
      <w:r>
        <w:t>Es ist daher nicht zu beanstanden, dass die Vorinstanz den Antrag des Beschwerdeführers, ein Fahrzeug nur zu beruflichen Zwecken zu führen, unter Berufung auf diese Rechtsprechung abgelehnt hat. Der Beschwerdeführer nennt in seiner Beschwerde keine sachlichen Gründe, die eine Praxisänderung rechtfertigen könnten (vgl. zu diesen Gründen: BGE 141 II 297 E. 5.5.1 S. 303 mit Hinweisen). Solche sind auch nicht ersichtlich, da der Gesetzgeber davon ausging, Art. 16 Abs. 2 lit. c SVG solle Personen, die wiederholt elementare Verkehrsregeln verletzen, für lange Zeit aus dem Strassenverkehr ziehen (vgl. E. 3.1 hievor; BGE 141 II 220 E. 3.3.3 S. 225 f.).</w:t>
      </w:r>
    </w:p>
    <w:p>
      <w:r>
        <w:rPr>
          <w:b/>
        </w:rPr>
        <w:t>E. 3.3</w:t>
      </w:r>
    </w:p>
    <w:p>
      <w:r>
        <w:t>Die vom Beschwerdeführer vorgebrachte unverhältnismässige und unzumutbare Härte durch den zwölfmonatigen Führerausweisentzug wird im Übrigen dadurch relativiert, dass er für die Zufahrt zu den Arbeitsorten allenfalls einen Chauffeur engagieren kann (vgl. Urteil 1C_442/2017 vom 26. April 2018 E. 3.4 mit Hinweisen). Seiner Arbeit als selbständiger Bodenleger kann er - zwar mit gewissen Einschränkungen - auch ohne Führerausweis nachgehen, dies im Gegensatz zu einem Berufschauffeur, bei welchem aber ebenfalls keine Ausnahme gemacht wird. Es ist daher weder ersichtlich noch rechtsgenüglich dargetan, inwiefern der Führerausweisentzug unverhältnismässig sein beziehungsweise weshalb er die Wirtschaftsfreiheit des Beschwerdeführers verletzen soll.</w:t>
      </w:r>
    </w:p>
    <w:p>
      <w:r>
        <w:rPr>
          <w:b/>
        </w:rPr>
        <w:t>E. 3.4</w:t>
      </w:r>
    </w:p>
    <w:p>
      <w:r>
        <w:t>Wie die Vorinstanz zu Recht erwogen hat, kann der Beschwerdeführer sodann auch nichts zu seinen Gunsten aus Art. 33 und Art. 34 der Verordnung über die Zulassung von Personen und Fahrzeugen vom Strassenverkehr (Verkehrszulassungsverordnung, VZV; SR 741.51) sowie aus Art. 48 und Art. 54 StGB ableiten. Diesbezüglich kann auf die zutreffenden Ausführungen der Vorinstanz verwiesen werden.</w:t>
      </w:r>
    </w:p>
    <w:p>
      <w:r>
        <w:rPr>
          <w:b/>
        </w:rPr>
        <w:t>E. 3.5</w:t>
      </w:r>
    </w:p>
    <w:p>
      <w:r>
        <w:t>Demnach hält der Entzug des Führerausweises für zwölf Monate gemäss Art. 16c Abs. 2 lit. c SVG vor Bundesrecht stand.</w:t>
      </w:r>
    </w:p>
    <w:p>
      <w:r>
        <w:rPr>
          <w:b/>
        </w:rPr>
        <w:t>E. 4</w:t>
      </w:r>
    </w:p>
    <w:p>
      <w:r>
        <w:t>Nach dem Gesagten ist die Beschwerde abzuweisen.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