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1C_177/2010 vom 25. Mai 2010</w:t>
      </w:r>
    </w:p>
    <w:p>
      <w:r>
        <w:t>Bundesgericht, 2010-05-25, DE</w:t>
      </w:r>
    </w:p>
    <w:p>
      <w:r>
        <w:rPr>
          <w:b/>
        </w:rPr>
        <w:t xml:space="preserve">Quelle: </w:t>
      </w:r>
      <w:r>
        <w:t>https://mcp.opencaselaw.ch/entscheid/bger_1C_177_2010</w:t>
      </w:r>
    </w:p>
    <w:p>
      <w:r>
        <w:t>FR: TF 1C_177/2010 du 25 mai 2010</w:t>
      </w:r>
    </w:p>
    <w:p>
      <w:r>
        <w:t>IT: TF 1C_177/2010 del 25 maggio 2010</w:t>
      </w:r>
    </w:p>
    <w:p>
      <w:pPr>
        <w:pStyle w:val="Heading2"/>
      </w:pPr>
      <w:r>
        <w:t>Erwägungen</w:t>
      </w:r>
    </w:p>
    <w:p>
      <w:r>
        <w:rPr>
          <w:b/>
        </w:rPr>
        <w:t>E. 1</w:t>
      </w:r>
    </w:p>
    <w:p>
      <w:r>
        <w:t>Beide angefochtenen Entscheide hängen inhaltlich eng zusammen. Es rechtfertigt sich, die Beschwerdeverfahren zu vereinigen und die Sache in einem einzigen Urteil zu behandeln.</w:t>
      </w:r>
    </w:p>
    <w:p>
      <w:r>
        <w:rPr>
          <w:b/>
        </w:rPr>
        <w:t>E. 2</w:t>
      </w:r>
    </w:p>
    <w:p>
      <w:r>
        <w:t>Das vorliegende Verfahren geht auf ein Gesuch der Beschwerdeführerin gestützt auf das Gesetz des Kantons Zürich über die Information und den Datenschutz zurück. Dabei handelt es sich um öffentliches Recht. Der ablehnende Beschluss der Verwaltungskommission des Obergerichts ist ein Verwaltungsakt und der in der Folge ergangene Nichteintretensentscheid des Verwaltungsgerichts deshalb mit Beschwerde in öffentlich-rechtlichen Angelegenheiten anfechtbar ( Art. 82 lit. a BGG ; vgl. zur Publ. bestimmtes Urteil 1C_444/2009 vom 14. Januar 2010 E. 1.1 und dort zitierte Entscheide).</w:t>
      </w:r>
    </w:p>
    <w:p>
      <w:r>
        <w:t>Die Beschwerdeführerin hat am vorinstanzlichen Verfahren teilgenommen und macht geltend, das Verwaltungsgericht habe durch den Nichteintretensentscheid Bundesrecht verletzt. Zu dieser Rüge ist sie im bundesgerichtlichen Verfahren ungeachtet ihrer Legitimation in der Sache berechtigt ( Art. 89 Abs. 1 BGG , vgl. BGE 129 II 297 E. 2.3 S. 301; 127 II 161 E. 3b S. 167).</w:t>
      </w:r>
    </w:p>
    <w:p>
      <w:r>
        <w:t>Die übrigen Sachurteilsvoraussetzungen sind in Bezug auf das Verfahren 1C_179/2010 erfüllt, weshalb auf diese Beschwerde einzutreten ist.</w:t>
      </w:r>
    </w:p>
    <w:p>
      <w:r>
        <w:rPr>
          <w:b/>
        </w:rPr>
        <w:t>E. 3.1</w:t>
      </w:r>
    </w:p>
    <w:p>
      <w:r>
        <w:t>Die Beschwerdeführerin rügt eine Verletzung der Rechtsweggarantie von Art. 29a BV . Die Verwaltungskommission habe keine Rechtsprechungsfunktion ausgeübt, als sie das Gesuch um Information beurteilte. Zudem habe das Obergericht in eigener Sache gehandelt und könne deshalb nicht unparteiisch sein und ein faires Verfahren gewährleisten.</w:t>
      </w:r>
    </w:p>
    <w:p>
      <w:r>
        <w:rPr>
          <w:b/>
        </w:rPr>
        <w:t>E. 3.2</w:t>
      </w:r>
    </w:p>
    <w:p>
      <w:r>
        <w:t>Gemäss Art. 29a BV hat jede Person bei Rechtsstreitigkeiten Anspruch auf Beurteilung durch eine richterliche Behörde. Bund und Kantone können durch Gesetz die richterliche Beurteilung in Ausnahmefällen ausschliessen. Das Verwaltungsgericht argumentiert, die Verwaltungskommission des Obergerichts erfülle bereits alle Anforderungen, welche Art. 29a BV an eine richterliche Behörde stelle. Dabei übersieht es, dass die Verwaltungskommission vorliegend als erste Instanz eine Verfügung erliess. Sie handelte dabei im Rahmen eines nichtstreitigen Verwaltungsverfahrens und nahm damit Rechtsanwendung, nicht aber Rechtsprechung vor (vgl. ULRICH HÄFELIN/GEORG MÜLLER/FELIX UHLMANN, Allgemeines Verwaltungsrecht, 5. Aufl. 2006, Rz. 12 und 1609; a.M. RUTH HERZOG, Auswirkungen auf die Staats- und Verwaltungsrechtspflege in den Kantonen, in: BTJP 2006, S. 106 f.). Erst nach dem Zeitpunkt, in welchem die Verwaltungskommission ihren Beschluss gefällt hatte, konnte mithin von einer Rechtsstreitigkeit im Sinne von Art. 29a BV gesprochen werden. Folglich hatte die Beschwerdeführerin Anspruch darauf, die so entstandene Streitigkeit von einer richterlichen Behörde beurteilen zu lassen. Dieser Anspruch kann im bundesgerichtlichen Verfahren nicht erfüllt werden, denn das Bundesgericht nimmt keine uneingeschränkte Kontrolle des Sachverhalts und der Rechtsanwendung vor ( Art. 105 und Art. 95 BGG ). Indem das Verwaltungsgericht mit der Begründung, es sei nicht zuständig, auf die Beschwerde nicht eintrat, verletzte es deshalb Art. 29a BV .</w:t>
      </w:r>
    </w:p>
    <w:p>
      <w:r>
        <w:rPr>
          <w:b/>
        </w:rPr>
        <w:t>E. 4.1</w:t>
      </w:r>
    </w:p>
    <w:p>
      <w:r>
        <w:t>Nach dem Gesagten wurde der Anspruch der Beschwerdeführerin, die Rechtsstreitigkeit durch eine richterliche Behörde beurteilen zu lassen, verletzt. Es erübrigt sich damit, auf ihre weiteren Rügen einzugehen. Die Beschwerde gegen den Beschluss des Verwaltungsgerichts (Verfahren 1C_179/2010) ist gutzuheissen. Der Beschluss ist aufzuheben und die Angelegenheit an das Verwaltungsgericht zurückzuweisen. Dieses hat einen materiellen Entscheid zu fällen oder die Sache einer anderen richterlichen Behörde zu überweisen, welche den Anforderungen von Art. 29a und Art. 30 Abs. 1 BV genügt (vgl. Urteil 8C_453/2009 vom 7. April 2010 E. 2.3).</w:t>
      </w:r>
    </w:p>
    <w:p>
      <w:r>
        <w:rPr>
          <w:b/>
        </w:rPr>
        <w:t>E. 4.2</w:t>
      </w:r>
    </w:p>
    <w:p>
      <w:r>
        <w:t>Die Beschwerde gegen den Beschluss der Verwaltungskommission des Obergerichts (Verfahren 1C_177/2010) wird damit gegenstandslos.</w:t>
      </w:r>
    </w:p>
    <w:p>
      <w:r>
        <w:rPr>
          <w:b/>
        </w:rPr>
        <w:t>E. 4.3</w:t>
      </w:r>
    </w:p>
    <w:p>
      <w:r>
        <w:t>Gerichtskosten sind bei diesem Verfahrensausgang nicht zu erheben ( Art. 66 Abs. 1 und 4 BGG ). Der Kanton Zürich hat der anwaltlich vertretenen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