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1C_177/2009 vom 18. Juni 2009</w:t>
      </w:r>
    </w:p>
    <w:p>
      <w:r>
        <w:t>Bundesgericht, 2009-06-18, FR</w:t>
      </w:r>
    </w:p>
    <w:p>
      <w:r>
        <w:rPr>
          <w:b/>
        </w:rPr>
        <w:t xml:space="preserve">Quelle: </w:t>
      </w:r>
      <w:r>
        <w:t>https://mcp.opencaselaw.ch/entscheid/bger_1C_177_2009</w:t>
      </w:r>
    </w:p>
    <w:p>
      <w:r>
        <w:t>FR: TF 1C_177/2009 du 18 juin 2009</w:t>
      </w:r>
    </w:p>
    <w:p>
      <w:r>
        <w:t>IT: TF 1C_177/2009 del 18 giugno 2009</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Selon l' art. 89 al. 2 let . c LTF, les communes peuvent agir en invoquant la violation de garanties qui leur sont reconnues par la Constitution cantonale ou fédérale. La recourante invoque l'autonomie communale, garantie par les art. 50 Cst. et 139 Cst./VD, et se prévaut en particulier de ses compétences dans le domaine de la police des constructions. Elle a dès lors la qualité pour recourir. La question de savoir si la commune est effectivement autonome dans le domaine litigieux est une question de fond, qui n'a pas d'incidence sur la recevabilité du recours ( ATF 129 I 410 consid. 1.1 p. 412 et les références).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 Il n'est pas nécessaire que la commune soit autonome pour l'ensemble de la tâche communale en cause; il suffit qu'elle soit autonome dans le domaine litigieux ( ATF 133 I 128 consid. 3.1; 122 I 279 consid. 8b p. 290; 110 Ia 197 consid. 2a p. 199 s. et les arrêts cités). 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 arrêts 1P.402/2006 du 6 mars 2007, consid. 3, 1P.167/2003 consid. 3 publié in RDAF 2004 p. 114).</w:t>
      </w:r>
    </w:p>
    <w:p>
      <w:r>
        <w:rPr>
          <w:b/>
        </w:rPr>
        <w:t>E. 2.2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il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2.2.1</w:t>
      </w:r>
    </w:p>
    <w:p>
      <w:r>
        <w:t>Intitulé "plans et règlements en voie d'élaboration", l'art. 77 LATC a la teneur suivante:</w:t>
      </w:r>
    </w:p>
    <w:p>
      <w:r>
        <w:t>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2.2.2</w:t>
      </w:r>
    </w:p>
    <w:p>
      <w:r>
        <w:t>Le Tribunal cantonal a considéré que la recourante ne pouvait pas fonder le refus du permis de construire sur l'art. 77 LATC. Il a d'abord estimé que le délai de huit mois de l'art. 77 al. 2 LATC était échu, car il commençait à courir dès la première décision de refus, notifiée le 2 mars 2007. La recourante tient l'application de l'art. 77 al. 2 LATC pour arbitraire, dans la mesure où sa première décision de refus ne se fondait pas sur l'art. 77 LATC, les éléments nouveaux commandant une modification du plan de quartier n'étant apparus qu'ultérieurement. Il est vrai que l'application du délai de l'art. 77 al. 2 LATC à une décision qui ne se fondait pas sur cette disposition peut être discutée. L'arrêt attaqué se fonde à cet égard sur la volonté du législateur de limiter la durée de l'effet anticipé négatif (cf. arrêt 1P.421/2006 du 15 mai 2007 consid. 3.2); il estime par conséquent que l'autorité compétente ne pouvait pas invoquer, à l'échéance du délai, l'effet anticipé d'une norme qui n'avait pas été envisagée précédemment. Sur le vu de ces motifs, la solution du Tribunal cantonal n'apparaît à première vue pas manifestement insoutenable. Par ailleurs, la recourante ne démontre pas en quoi elle aurait été empêchée de fonder son premier refus sur l'art. 77 LATC et elle n'établit pas le caractère décisif des éléments prétendument nouveaux qui rendraient nécessaire une nouvelle réglementation du quartier concerné. Ces questions peuvent cependant demeurer indécises, dans la mesure où l'arrêt attaqué se fonde sur une seconde motivation dénuée d'arbitraire.</w:t>
      </w:r>
    </w:p>
    <w:p>
      <w:r>
        <w:t>Le Tribunal cantonal a en effet retenu que les conditions d'application de l'art. 77 LATC n'étaient de toute manière pas remplies. Il a relevé que le plan de quartier "Valentin-Philosophes" avait déjà pour but de mettre en valeur l'ancien site du Castrum, de sorte qu'on ne pouvait pas considérer que la situation avait changé depuis lors. C'était en vain que la municipalité tentait de soutenir que de nouvelles découvertes archéologiques justifiaient une reconsidération de la situation. Se fondant sur l'avis exprimé par l'archéologue cantonal dans un courrier du 11 juillet 2008, l'autorité intimée a estimé que si les vestiges découverts sur la parcelle en cause devaient être "sauvegardés", c'était par leur documentation scientifique et non par un maintien - irréalisable - des structures mises à jour. Ce point de vue ressort effectivement du courrier en question, qui précise que "ce qui subsiste dans la surface fouillée de la parcelle 2174 n'est pas conservable en place et ne peut se prêter raisonnablement à un projet de mise en valeur in situ". La recourante ne remet pas en cause cette appréciation de manière convaincante. Elle se borne à rappeler son souci de mettre en valeur le secteur concerné "sous forme d'un parc archéologique et paysager", ce qui impliquerait une révision des limites de constructions. Elle n'établit cependant pas une modification sensible des circonstances depuis l'adoption de la réglementation en vigueur et elle ne démontre pas en quoi il serait insoutenable de prendre en compte un tel critère dans l'application de l'art. 77 LATC. Il convient au demeurant de relever qu'en l'absence de motifs objectifs ou de circonstances nouvelles déterminantes, un refus du permis de construire fondé sur cette disposition entrerait en conflit avec l'exigence d'un intérêt public lié à l'effet anticipé négatif et avec le principe de la stabilité des plans (cf. ATF 128 I 190 consid. 4.2 p. 198; 119 Ia 254 consid. 3b et 4 p. 258 ss; BERNHARD WALDMANN/PETER HÄNNI; Raumplanungsgesetz, 2006, n. 18 ss ad art. 21 al. 2 LAT ; PIERMARCO ZEN-RUFFINEN/CHRISTINE GUY-ECABERT, Aménagement du territoire, construction, expropriation, 2001, n. 449 p. 198). En définitive, il y a lieu de constater que l'art. 77 LATC n'a pas été appliqué de manière arbitraire au sens de la jurisprudence susmentionnée.</w:t>
      </w:r>
    </w:p>
    <w:p>
      <w:r>
        <w:t>3.</w:t>
      </w:r>
    </w:p>
    <w:p>
      <w:r>
        <w:t>Il s'ensuit que le recours doit être rejeté. Il n'y a pas lieu de percevoir de frais judiciaires, dans la mesure où la recourante agit dans l'exercice de ses attributions officielles sans que son intérêt patrimonial soit en cause ( art. 66 al. 4 LTF ). Elle versera néanmoins une indemnité à titre de dépens aux intimées, qui obtiennent gain de cause avec l'assistance d'un avocat ( art. 68 al. 1 LTF ). Dans ces conditions, la requête d'effet suspensif devient sans objet.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