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175/2024 vom 26. März 2024</w:t>
      </w:r>
    </w:p>
    <w:p>
      <w:r>
        <w:t>Bundesgericht, 2024-03-26, FR</w:t>
      </w:r>
    </w:p>
    <w:p>
      <w:r>
        <w:rPr>
          <w:b/>
        </w:rPr>
        <w:t xml:space="preserve">Quelle: </w:t>
      </w:r>
      <w:r>
        <w:t>https://mcp.opencaselaw.ch/entscheid/bger_1C_175_2024</w:t>
      </w:r>
    </w:p>
    <w:p>
      <w:r>
        <w:t>FR: TF 1C 175/2024 du 26 mars 2024</w:t>
      </w:r>
    </w:p>
    <w:p>
      <w:r>
        <w:t>IT: TF 1C 175/2024 del 26 marzo 2024</w:t>
      </w:r>
    </w:p>
    <w:p>
      <w:pPr>
        <w:pStyle w:val="Heading2"/>
      </w:pPr>
      <w:r>
        <w:t>Regeste</w:t>
      </w:r>
    </w:p>
    <w:p>
      <w:r>
        <w:t>Entraide judiciaire internationale en matière pénale aux Pays-Bas; remise de moyens de preuve | Entraide et extradition</w:t>
      </w:r>
    </w:p>
    <w:p>
      <w:pPr>
        <w:pStyle w:val="Heading2"/>
      </w:pPr>
      <w:r>
        <w:t>Erwägungen</w:t>
      </w:r>
    </w:p>
    <w:p>
      <w:r>
        <w:rPr>
          <w:b/>
        </w:rPr>
        <w:t>E. 1</w:t>
      </w:r>
    </w:p>
    <w:p>
      <w:r>
        <w:t>Bien que le recours soit rédigé en allemand, le présent arrêt est rendu en français, langue de la décision attaquée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cause porte certes sur la transmission de documents bancaires, soit des renseignements touchant le domaine secret. Toutefois, compte tenu des faits à l'origine de la demande (soit des infractions de corruption et de blanchiment d'argent) et de la nature de la transmission envisagée, limitée à la documentation relative à un compte bancaire déterminé, le cas ne revêt en soi aucune importance particulière.</w:t>
      </w:r>
    </w:p>
    <w:p>
      <w:r>
        <w:rPr>
          <w:b/>
        </w:rPr>
        <w:t>E. 2.2</w:t>
      </w:r>
    </w:p>
    <w:p>
      <w:r>
        <w:t>La recourante estime qu'il n'y aurait pas d'indication suffisante quant à l'existence d'une infraction préalable à celle de blanchiment. Il ressort toutefois clairement de l'arrêt attaqué que les soupçons de l'autorité requérante portent sur des actes de corruption. Les contestations de la recourante à cet égard (notamment à propos de la détermination de l'ayant droit économique des comptes et sociétés impliquées, et des dates des transactions suspectes) sont sans pertinence dès lors que l'autorité requérante peut faire état de simples soupçons, sans avoir à les prouver ni même à les rendre vraisemblables ( ATF 130 II 329 consid. 5.2), une argumentation à décharge n'étant pas recevable dans le cadre de la procédure d'entraide judiciaire (arrêt 1C_446/2020 du 30 septembre 2020 consid. 2.2). La recourante reproche par ailleurs au MPC d'avoir omis la pesée d'intérêts qui doit être effectuée pour admettre la présence d'enquêteurs étrangers ( art. 65a al. 3 EIMP ). Dès lors que les documents litigieux doivent être transmis en vertu de la décision de clôture du MPC, le grief n'a plus d'actualité. Quoiqu'il en soit, une pesée d'intérêts a bien eu lieu puisque les instances précédentes ont considéré que les garanties fournies (un engagement de confidentialité et des garanties explicites figurant dans la demande d'entraide elle-même) permettaient d'éviter une utilisation prématurée des renseignements obtenus. La recourante se plaint encore de ce que la Cour des plaintes n'aurait pas suffisamment examiné la question du respect du principe de la spécialité et la demande de caviardage des documents transmis, écartant ses objections comme de simples hypothèses. L'instance précédente s'est toutefois prononcée en détail sur l'utilité de l'intégralité des documents transmis ainsi que sur la demande de caviardage supplémentaire, considérant que l'intérêt à éviter une divulgation (notamment au Kazakhstan) ne l'emportait pas sur celui de l'autorité requérante à pouvoir examiner l'ensemble de la gestion du compte bancaire de la recourante. Le principe de la spécialité ( art. 67 LTF ) permet au surplus d'exclure toute transmission à un Etat tiers des documents remis par voie d'entraide. Sur l'ensemble des questions soulevées par la recourante, la Cour des plaintes s'en est tenue à la pratique constante et il ne se pose aucune question juridique de principe. La recourante ne fait pas non plus valoir que la procédure à l'étranger violerait des principes fondamentaux ou comporterait d'autres vices graves.</w:t>
      </w:r>
    </w:p>
    <w:p>
      <w:r>
        <w:rPr>
          <w:b/>
        </w:rPr>
        <w:t>E. 3</w:t>
      </w:r>
    </w:p>
    <w:p>
      <w:r>
        <w:t>Sur le vu de ce qui précède, la condition posée à l' art. 84 al. 2 LTF n'est pas remplie, ce qui entraîne l'irrecevabilité du recours.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