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1C_175/2014 vom 2. April 2014</w:t>
      </w:r>
    </w:p>
    <w:p>
      <w:r>
        <w:t>Bundesgericht, 2014-04-02, FR</w:t>
      </w:r>
    </w:p>
    <w:p>
      <w:r>
        <w:rPr>
          <w:b/>
        </w:rPr>
        <w:t xml:space="preserve">Quelle: </w:t>
      </w:r>
      <w:r>
        <w:t>https://mcp.opencaselaw.ch/entscheid/bger_1C_175_2014</w:t>
      </w:r>
    </w:p>
    <w:p>
      <w:r>
        <w:t>FR: TF 1C_175/2014 du 2 avril 2014</w:t>
      </w:r>
    </w:p>
    <w:p>
      <w:r>
        <w:t>IT: TF 1C_175/2014 del 2 aprile 2014</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La recourante prétend soulever plusieurs questions de principe portant sur l'admissibilité d'une demande d'entraide fondée sur une transmission spontanée d'informations dérivant de preuves illicites et l'obligation de l'Etat requis d'attirer l'attention des autorités requérantes sur le caractère illicite des preuves exploitées.</w:t>
      </w:r>
    </w:p>
    <w:p>
      <w:r>
        <w:rPr>
          <w:b/>
        </w:rPr>
        <w:t>E. 1.3.1</w:t>
      </w:r>
    </w:p>
    <w:p>
      <w:r>
        <w:t>La question de l'utilisation ou de la transmission de moyens de preuve qui ont par la suite été jugés illicites par le TPF dans la procédure pénale suisse, ne constitue pas une question de principe. En effet, selon l' art. 141 al. 2 CPP (applicable par renvoi de l' art. 12 al. 1 EIMP ), les preuves administrées de manière illicite peuvent être utilisées pour l'élucidation d'infractions graves, au terme d'une pesée d'intérêt. En l'occurrence, à l'intérêt évident de l'Etat étranger à la poursuite d'infractions graves mettant en jeu les intérêts de l'Etat et portant sur des sommes importantes, vient s'ajouter l'obligation de la Suisse telle qu'elle résulte de l'art. 1 du Traité d'entraide judiciaire avec l'Etat requérant (RS 0.351.919.81); l'illicéité d'un moyen de preuve recueilli préalablement en Suisse ne constitue d'ailleurs pas un motif de refus au sens de l'art. 3 du même traité (cf. arrêt 1C_148/2014 du 24 mars 2014 concernant la même procédure d'entraide judiciaire). Dans la mesure où les conditions matérielles et formelles de l'entraide judiciaire sont remplies, l'autorité requise n'avait pas non plus à informer l'autorité requérante des irrégularités affectant les preuves recueillies en Suisse.</w:t>
      </w:r>
    </w:p>
    <w:p>
      <w:r>
        <w:rPr>
          <w:b/>
        </w:rPr>
        <w:t>E. 1.3.2</w:t>
      </w:r>
    </w:p>
    <w:p>
      <w:r>
        <w:t>Le caractère insuffisamment motivé de la demande d'entraide ou les éventuelles lacunes et contradictions qui pourraient entacher celle-ci, ne sont évidemment pas non plus assimilables à un défaut grave au sens de la disposition précitée. Les constatations résultant d'un jugement rendu en Suisse n'empêchent pas l'autorité étrangère de vouloir procéder à ses propres vérifications. Sous réserve du principe "ne bis in idem" (en l'occurrence inapplicable, la recourante n'étant pas concernée par le jugement rendu en Suisse), l'autorité suisse d'entraide doit se fonder sur la seule demande d'entraide pour juger de son admissibilité, et ne saurait ainsi opposer à l'Etat requérant les considérations d'un jugement rendu dans une cause voisine par ses autorités pénales. Sur ce point, la présente cause ne soulève pas non plus de question des principe.</w:t>
      </w:r>
    </w:p>
    <w:p>
      <w:r>
        <w:rPr>
          <w:b/>
        </w:rPr>
        <w:t>E. 1.4</w:t>
      </w:r>
    </w:p>
    <w:p>
      <w:r>
        <w:t>Pour le surplus,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