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175/2008 vom 23. April 2008</w:t>
      </w:r>
    </w:p>
    <w:p>
      <w:r>
        <w:t>Bundesgericht, 2008-04-23, DE</w:t>
      </w:r>
    </w:p>
    <w:p>
      <w:r>
        <w:rPr>
          <w:b/>
        </w:rPr>
        <w:t xml:space="preserve">Quelle: </w:t>
      </w:r>
      <w:r>
        <w:t>https://mcp.opencaselaw.ch/entscheid/bger_1C_175_2008</w:t>
      </w:r>
    </w:p>
    <w:p>
      <w:r>
        <w:t>FR: TF 1C 175/2008 du 23 avril 2008</w:t>
      </w:r>
    </w:p>
    <w:p>
      <w:r>
        <w:t>IT: TF 1C 175/2008 del 23 aprile 2008</w:t>
      </w:r>
    </w:p>
    <w:p>
      <w:pPr>
        <w:pStyle w:val="Heading2"/>
      </w:pPr>
      <w:r>
        <w:t>Regeste</w:t>
      </w:r>
    </w:p>
    <w:p>
      <w:r>
        <w:t>Auslieferung an Spanien - B 205'977/BUG/TMA | Rechtshilfe und Auslieferung</w:t>
      </w:r>
    </w:p>
    <w:p>
      <w:pPr>
        <w:pStyle w:val="Heading2"/>
      </w:pPr>
      <w:r>
        <w:t>Erwägungen</w:t>
      </w:r>
    </w:p>
    <w:p>
      <w:r>
        <w:rPr>
          <w:b/>
        </w:rPr>
        <w:t>E. 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Der Begriff des schweren Mangels des ausländischen Verfahrens ist restriktiv auszulegen ( BGE 133 IV 271 E. 2.2.2 S. 274, mit Hinweis). Art. 84 BGG bezweckt die starke Begrenzung des Zugangs zum Bundesgericht im Bereich der internationalen Rechtshilfe in Strafsachen ( BGE 133 IV 131 E. 3 S. 132; 133 IV 132 E. 1.3 S. 134; 133 IV 271 E. 2.2.2 S. 274). Ein besonders bedeutender Fall kann auch bei einer Auslieferung nur ausnahmsweise angenommen werden. In der Regel stellen sich insoweit keine Rechtsfragen, die der Klärung durch das Bundesgericht bedürfen, und kommt den Fällen auch sonst wie keine besondere Tragweite zu (BGE 1C_205/2007 vom 18. Dezember 2007 E. 1.3.4).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Gemäss Art. 108 BGG entscheidet der Präsident der Abteilung im vereinfachten Verfahren unter anderem über Nichteintreten auf Beschwerden, die offensichtlich keine hinreichende Begründung (Art. 42 Abs. 2) enthalten (Abs. 1 lit. b). Er kann einen anderen Richter damit betrauen (Abs. 2). Die Begründung des Entscheids beschränkt sich auf eine kurze Angabe des Unzulässigkeitsgrundes (Abs. 3).</w:t>
      </w:r>
    </w:p>
    <w:p>
      <w:r>
        <w:rPr>
          <w:b/>
        </w:rPr>
        <w:t>E. 2</w:t>
      </w:r>
    </w:p>
    <w:p>
      <w:r>
        <w:t>Der Beschwerdeführer legt mit keinem Wort dar und es ist im Lichte der angeführten restriktiven Rechtsprechung auch nicht ohne weiteres ersichtlich, weshalb hier ein besonders bedeutender Fall im Sinne von Art. 84 BGG gegeben sein soll. Die Beschwerde genügt den Begründungsanforderungen von Art. 42 Abs. 2 BGG nicht, weshalb darauf nicht eingetreten werden kann. Da dies offensichtlich ist, ist der Einzelrichter zum Entscheid befugt.</w:t>
      </w:r>
    </w:p>
    <w:p>
      <w:r>
        <w:rPr>
          <w:b/>
        </w:rPr>
        <w:t>E. 3</w:t>
      </w:r>
    </w:p>
    <w:p>
      <w:r>
        <w:t>Da die Beschwerde aussichtslos war, kann die unentgeltliche Rechtspflege und Verbeiständung nach Art. 64 BGG nicht bewilligt werden. Von der Mittellosigkeit des Beschwerdeführers ist jedoch auszugehen. Auf die Erhebung von Kosten wird daher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