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1C_174/2019 vom 29. Oktober 2019</w:t>
      </w:r>
    </w:p>
    <w:p>
      <w:r>
        <w:t>Bundesgericht, 2019-10-29, FR</w:t>
      </w:r>
    </w:p>
    <w:p>
      <w:r>
        <w:rPr>
          <w:b/>
        </w:rPr>
        <w:t xml:space="preserve">Quelle: </w:t>
      </w:r>
      <w:r>
        <w:t>https://mcp.opencaselaw.ch/entscheid/bger_1C_174_2019</w:t>
      </w:r>
    </w:p>
    <w:p>
      <w:r>
        <w:t>FR: TF 1C_174/2019 du 29 octobre 2019</w:t>
      </w:r>
    </w:p>
    <w:p>
      <w:r>
        <w:t>IT: TF 1C_174/2019 del 29 ottobre 2019</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Dirigé contre une décision rendue en dernière instance cantonale dans une cause de droit public, le recours est en principe recevable comme recours en matière de droit public conformément aux art. 82 ss LTF , aucune des exceptions prévues à l' art. 83 LTF n'étant réalisée.</w:t>
      </w:r>
    </w:p>
    <w:p>
      <w:r>
        <w:rPr>
          <w:b/>
        </w:rPr>
        <w:t>E. 1.2</w:t>
      </w:r>
    </w:p>
    <w:p>
      <w:r>
        <w:t>Pour peu que la communication du 20 juillet 2018 adressée par le Service des communes et du logement à la recourante puisse être qualifiée de décision au regard de son dispositif et de sa portée de principe (voir partie Faits let. A; cf. THIERRY TANQUEREL, Manuel de droit administratif, 2</w:t>
      </w:r>
    </w:p>
    <w:p>
      <w:r>
        <w:t>e éd. 2018, n. 783 ss, p. 279 s. et n. 795 s., p. 283 s.), celle-ci revêt en tout état de cause - comme l'a du reste expressément souligné le Tribunal cantonal - un caractère incident; il s'ensuit que l'arrêt attaqué, qui confirme la teneur de ce premier acte, doit également être qualifié d'incident. Celui-ci ne met en effet pas un terme à la procédure initiée par la recourante, par laquelle celle-ci sollicite de pouvoir réaliser certains travaux d'entretien et de rénovation dans l'appartement du 1er étage de l'immeuble sis avenue Victor-Ruffy 51 à Lausanne. Pour le cas où cet appartement entre dans la catégorie des logements soumis à LPPPL (cf. art. 3 et 4 LPPPL) - problématique qui n'a pour l'heure pas été discutée -, les travaux projetés peuvent faire l'objet d'une dispense moyennant le respect des conditions prévues à l'art. 11 al. 1 LPPPL; dans le cas contraire, les travaux doivent faire l'objet d'une autorisation formelle (cf. art. 5, 6 et 13 LPPPL) assortie, le cas échéant, de conditions au sens de l'art. 14 LPPPL (limitation de la répercussion des coûts sur le revenu locatif, contrôle des loyers, etc.). L'arrêt attaqué, à l'instar de la décision du Service des communes et du logement, ne se prononce cependant pas sur cet aspect, plus particulièrement sur le détail des travaux envisagés dans le cas d'espèce, comme le soulignent au demeurant les juges cantonaux (cf. arrêt attaqué consid. 1 et 3); l'arrêt entrepris est en particulier limité à la question des principes dégagés de l'art. 11 al. 1 LPPPL, que les autorités entendent appliquer.</w:t>
      </w:r>
    </w:p>
    <w:p>
      <w:r>
        <w:rPr>
          <w:b/>
        </w:rPr>
        <w:t>E. 1.3</w:t>
      </w:r>
    </w:p>
    <w:p>
      <w:r>
        <w:t>La Cour de céans ne pourrait donc entrer en matière sur le recours que si les conditions alternatives de l' art. 93 al. 1 let. a et b LTF étaient réalisées.</w:t>
      </w:r>
    </w:p>
    <w:p>
      <w:r>
        <w:rPr>
          <w:b/>
        </w:rPr>
        <w:t>E. 1.3.1</w:t>
      </w:r>
    </w:p>
    <w:p>
      <w:r>
        <w:t>L' art. 93 al. 1 LTF prévoit que les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t>Selon la jurisprudence rendue en application de l' art. 93 al. 1 let. a LTF , un préjudice irréparable n'est réalisé que lorsque la partie recourante subit un dommage qu'une décision favorable sur le fond ne fera pas disparaître complètement; il faut en outre qu'il s'agisse d'un inconvénient de nature juridique, un dommage économique ou de pur fait étant à cet égard insuffisant ( ATF 144 III 475 consid. 1.2 p. 479; 137 III 380 consid. 1.2.1 p. 382); l'allongement de la durée de la procédure et l'augmentation des coûts qui en résulte ne sont pas constitutifs d'un dommage irréparable au sens de l' art. 93 al. 1 let. a LTF (cf. ATF 144 III 475 consid. 1.2. p. 479; 135 II 30 consid. 1.3.4 p. 36). Par ailleurs, sous l'angle de l' art. 93 al. 1 let. b LTF , seuls entrent en ligne de compte la longueur et les coûts liés à la procédure probatoire, à l'exclusion de l'étude des questions de fond par les parties, la rédaction d'écritures, la préparation de plaidoiries ou encore le temps nécessaire pour que le tribunal statue à nouveau (cf. arrêt 4A_210/2010 du 1er octobre 2010 consid. 3.3.1 non publié in ATF 136 III 502 ; BERNARD CORBOZ, Commentaire de la LTF, 2e éd. 2014, n. 31 ad art. 93 LTF ).</w:t>
      </w:r>
    </w:p>
    <w:p>
      <w:r>
        <w:rPr>
          <w:b/>
        </w:rPr>
        <w:t>E. 1.3.2</w:t>
      </w:r>
    </w:p>
    <w:p>
      <w:r>
        <w:t>En l'occurrence, partant à tort du principe que l'arrêt attaqué serait une décision finale au sens de l' art. 90 LTF , alors même que son caractère incident a été expressément souligné par les juges cantonaux, la recourante ne démontre pas, comme il lui appartenait pourtant de le faire en application de l' art. 42 al. 2 LTF (cf. ATF 137 III 522 consid. 1.3 p. 525; 134 II 137 consid. 1.3.3 p. 141), que les conditions posées pour admettre exceptionnellement la présence d'un préjudice irréparable seraient en l'occurrence réunies. On ne discerne dès lors pas d'autre préjudice que celui découlant du prolongement et de l'augmentation des coûts de la procédure, liés au dépôt d'une demande d'autorisation et son examen, inconvénient d'ailleurs identifié dans l'arrêt attaqué; il s'agit cependant - comme le mentionne à juste titre la cour cantonale - d'un préjudice de fait, qui n'ouvre en principe pas la voie d'un recours immédiat en application de l' art. 93 al. 1 let. a LTF . La recourante conserve au demeurant la possibilité de faire valoir ses griefs quant à l'application de l'art. 11 al. 1 LPPPL, dans le cadre d'un éventuel recours en matière de droit public contre l'arrêt final que rendra le Tribunal cantonal en cas de recours contre la décision d'autorisation LPPPL du Service des communes et du logement, en reprenant les arguments développés dans le présent mémoire (cf. art. 93 al. 3 LTF ; ATF 117 Ia 251 consid. 1b p. 255; 106 Ia 229 consid. 4 p. 236); cela est propre à exclure, en l'espèce, un préjudice de nature juridique au sens de la jurisprudence.</w:t>
      </w:r>
    </w:p>
    <w:p>
      <w:r>
        <w:t>Au surplus, la recourante n'indique pas davantage en quoi les conditions posées à l' art. 93 al. 1 let. b LTF seraient réunies. Rien ne permet dès lors d'affirmer que la procédure formelle d'autorisation entraînera nécessairement des mesures probatoires longues et coûteuses, s'écartant notablement des procédures habituelles; il n'apparaît en particulier pas, au vu de la nature de l'affaire, que celle-ci nécessite la mise en oeuvre d'expertises complexes ou l'audition de nombreux témoins (cf. arrêts 1B_152/2017 du 24 avril 2017 consid. 2.2; 2C_814/2012 du 7 mai 2013 consid. 3.3 in SJ 2013 I p. 57 et 2C_111/2011 du 7 juillet 2011 consid. 1.1.3 in SJ 2012 I p. 97).</w:t>
      </w:r>
    </w:p>
    <w:p>
      <w:r>
        <w:rPr>
          <w:b/>
        </w:rPr>
        <w:t>E. 1.4</w:t>
      </w:r>
    </w:p>
    <w:p>
      <w:r>
        <w:t>En définitive, à défaut d'avoir établi que les deux conditions alternatives auxquelles une décision incidente peut être déférée devant le Tribunal fédéral en vertu de l' art. 93 al. 1 LTF étaient réalisées, la recourante ne peut contester immédiatement l'arrêt attaqué. Elle pourra en revanche le faire, le cas échéant, en même temps que la décision finale, dans la mesure où elle influence le contenu de celle-ci ( art. 93 al. 3 LTF ).</w:t>
      </w:r>
    </w:p>
    <w:p>
      <w:r>
        <w:rPr>
          <w:b/>
        </w:rPr>
        <w:t>E. 2</w:t>
      </w:r>
    </w:p>
    <w:p>
      <w:r>
        <w:t>Pour les motifs qui précèdent, le recours doit être déclaré irrecevable. Les frais judiciaires seront mis à la charge de la recourante, qui succombe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