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1C_174/2017 vom 30. März 2017</w:t>
      </w:r>
    </w:p>
    <w:p>
      <w:r>
        <w:t>Bundesgericht, 2017-03-30, DE</w:t>
      </w:r>
    </w:p>
    <w:p>
      <w:r>
        <w:rPr>
          <w:b/>
        </w:rPr>
        <w:t xml:space="preserve">Quelle: </w:t>
      </w:r>
      <w:r>
        <w:t>https://mcp.opencaselaw.ch/entscheid/bger_1C_174_2017</w:t>
      </w:r>
    </w:p>
    <w:p>
      <w:r>
        <w:t>FR: TF 1C_174/2017 du 30 mars 2017</w:t>
      </w:r>
    </w:p>
    <w:p>
      <w:r>
        <w:t>IT: TF 1C_174/2017 del 30 marzo 2017</w:t>
      </w:r>
    </w:p>
    <w:p>
      <w:pPr>
        <w:pStyle w:val="Heading2"/>
      </w:pPr>
      <w:r>
        <w:t>Erwägungen</w:t>
      </w:r>
    </w:p>
    <w:p>
      <w:r>
        <w:rPr>
          <w:b/>
        </w:rPr>
        <w:t>E. 1.1</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Beschwerdegegner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Zur Beschwerde befugt ist nach Art. 89 Abs. 1 BGG , wer am vorinstanzlichen Verfahren als Partei teilgenommen hat, vom angefochtenen Entscheid besonders berührt ist und ein schutzwürdiges Interesse an dessen Aufhebung hat. Es ist Sache der Beschwerdeführerin, ihre Beschwerdebefugnis darzulegen, soweit sie nicht offensichtlich gegeben ist ( Art. 42 Abs. 2 BGG ; BGE 138 III 46 E. 1.2 S. 47; zum Ganzen: BGE 141 IV 284 E. 2.3 S. 287; 289 E. 1.3).</w:t>
      </w:r>
    </w:p>
    <w:p>
      <w:r>
        <w:t>Die Beschwerdeführerin legt unter Verletzung der gesetzlichen Begründungspflicht nicht dar, inwiefern sie zur Beschwerde befugt ist, und das ist auch keineswegs offensichtlich.</w:t>
      </w:r>
    </w:p>
    <w:p>
      <w:r>
        <w:rPr>
          <w:b/>
        </w:rPr>
        <w:t>E. 2</w:t>
      </w:r>
    </w:p>
    <w:p>
      <w:r>
        <w:t>Auf die Beschwerde ist damit im vereinfachten Verfahren nicht einzutreten.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