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1C_174/2015 vom 16. Januar 2018</w:t>
      </w:r>
    </w:p>
    <w:p>
      <w:r>
        <w:t>Bundesgericht, 2018-01-16, FR</w:t>
      </w:r>
    </w:p>
    <w:p>
      <w:r>
        <w:rPr>
          <w:b/>
        </w:rPr>
        <w:t xml:space="preserve">Quelle: </w:t>
      </w:r>
      <w:r>
        <w:t>https://mcp.opencaselaw.ch/entscheid/bger_1C_174_2015</w:t>
      </w:r>
    </w:p>
    <w:p>
      <w:r>
        <w:t>FR: TF 1C_174/2015 du 16 janvier 2018</w:t>
      </w:r>
    </w:p>
    <w:p>
      <w:r>
        <w:t>IT: TF 1C_174/2015 del 16 gennaio 2018</w:t>
      </w:r>
    </w:p>
    <w:p>
      <w:pPr>
        <w:pStyle w:val="Heading2"/>
      </w:pPr>
      <w:r>
        <w:t>Erwägungen</w:t>
      </w:r>
    </w:p>
    <w:p>
      <w:r>
        <w:rPr>
          <w:b/>
        </w:rPr>
        <w:t>E. 1</w:t>
      </w:r>
    </w:p>
    <w:p>
      <w:r>
        <w:t>Dirigé contre une décision finale ( art. 90 LTF ) prise en dernière instance cantonale ( art. 86 al. 1 let . d LTF) dans le domaine du droit public des constructions et de la protection de la nature, du paysage et des animaux ( art. 82 let. a LTF ), le recours est en principe recevable comme recours en matière de droit public selon les art. 82 ss LTF . Les recourants ont pris part à la procédure de recours devant le Tribunal cantonal. En tant que propriétaires du chalet litigieux, ils sont particulièrement touchés par l'arrêt attaqué, qui confirme le rejet de l'autorisation de construire requise. Ils peuvent ainsi se prévaloir d'un intérêt personnel et digne de protection à l'annulation de l'arrêt attaqué et ont dès lors qualité pour agir au sens de l' art. 89 al. 1 LTF . Les autres conditions de recevabilité étant réunies, il y a lieu d'entrer en matière.</w:t>
      </w:r>
    </w:p>
    <w:p>
      <w:r>
        <w:rPr>
          <w:b/>
        </w:rPr>
        <w:t>E. 2</w:t>
      </w:r>
    </w:p>
    <w:p>
      <w:r>
        <w:t>A titre de mesure d'instruction, les recourants sollicitent la mise en oeuvre d'une inspection locale dans le but de déterminer si la parcelle n</w:t>
      </w:r>
    </w:p>
    <w:p>
      <w:r>
        <w:t>o ddd a, à bon droit, été classée, sur le plan fédéral, comme site marécageux à protéger. Compte tenu de l'issue du litige, cette mesure n'apparaît toutefois pas nécessaire.</w:t>
      </w:r>
    </w:p>
    <w:p>
      <w:r>
        <w:rPr>
          <w:b/>
        </w:rPr>
        <w:t>E. 3</w:t>
      </w:r>
    </w:p>
    <w:p>
      <w:r>
        <w:t>Devant le Tribunal cantonal, les recourants faisaient valoir que le périmètre de l'ISM, objet no 416, Grande Cariçaie, aurait dû être modifié à la suite de la décision cantonale de classement des 4 octobre 2001 et 25 mars 2002, de manière a en exclure leur bien-fonds. Dans son arrêt du 24 février 2015, la cour cantonale a au contraire jugé que cette parcelle devait y être maintenue; elle a estimé qu'il n'y avait aucun motif de s'écarter de l'appréciation de l'OFEV, d'une part, qui a clairement manifesté, en cours de procédure cantonale, sa volonté de maintenir le fonds en cause dans l'ISM, ni de celle exprimée par la DGE, d'autre part, alors même que des discussions sur les limites des périmètres de protection étaient en cours entre les autorités cantonales et fédérales. L'instance précédente a en particulier rappelé que la protection fédérale des marais primait le droit cantonal et les plans d'aménagement cantonaux (cf. art. 49 al. 1 Cst. ), les cantons ne pouvant, sauf dans certaines circonstances particulières - non réalisées en l'espèce - s'écarter des indications fédérales, lors de la fixation, en application de l'art. 3 al. 1 de l'ordonnance sur les sites marécageux, des limites précises des objets à protéger (cf. ATF 127 II 184 consid. 3c p. 188 s.).</w:t>
      </w:r>
    </w:p>
    <w:p>
      <w:r>
        <w:t>Examinant ensuite les différents travaux projetés, portant en substance sur une extension du bâtiment existant, le Tribunal cantonal a considéré - point qui n'apparaît guère contestable - que ceux-ci ne revêtaient pas une importance nationale et qu'ils contrevenaient partant aux art. 23d LPN et 5 al. 2 let. d de l'ordonnance sur les sites marécageux. L'instance précédente a en conséquence confirmé les décisions de la commune et de la DGE refusant d'accorder le permis de construire requis.</w:t>
      </w:r>
    </w:p>
    <w:p>
      <w:r>
        <w:rPr>
          <w:b/>
        </w:rPr>
        <w:t>E. 3.1</w:t>
      </w:r>
    </w:p>
    <w:p>
      <w:r>
        <w:t>A l'examen de l'argumentation circonstanciée développée dans l'arrêt attaqué, l'appréciation de l'instance précédente, fondée sur le périmètre de protection fédéral en vigueur à la date du jugement cantonal, n'apparaît</w:t>
      </w:r>
    </w:p>
    <w:p>
      <w:r>
        <w:t>a priori pas critiquable. Cependant, l'ordonnance sur la protection des sites marécageux a été récemment révisée; ces modifications sont entrées en vigueur le 1</w:t>
      </w:r>
    </w:p>
    <w:p>
      <w:r>
        <w:t>er novembre 2017 (RO 2017 5401). La parcelle propriété des recourants est désormais exclue du périmètre de l'objet ISM n</w:t>
      </w:r>
    </w:p>
    <w:p>
      <w:r>
        <w:t>o 416. Dès lors, dans la mesure où les dispositions relatives à la protection de la nature et à la préservation des sites répondent en principe à un intérêt public important (cf. art. 78 al. 2 Cst. , art. 3 al. 1 LPN ; JEANNERAT/MOOR, Commentaire pratique LAT: planifier l'affectation, 2016, n. 4 ad art. 17 LAT ), celles- ci doivent, dans le cas particulier, s'appliquer immédiatement (cf. ATF 141 II 393 consid. 2.4 p. 398 s.; 139 II 243 consid. 11.1 p. 259; 135 II 384 consid. 2.3 p. 390; 125 II 591 consid. 5e/aa p. 598). Il s'ensuit que la délivrance du permis de construire sollicité ne peut plus être refusée pour des motifs ayant trait à l'inclusion de la parcelle des recourants dans le périmètre de l'inventaire fédéral.</w:t>
      </w:r>
    </w:p>
    <w:p>
      <w:r>
        <w:rPr>
          <w:b/>
        </w:rPr>
        <w:t>E. 3.2</w:t>
      </w:r>
    </w:p>
    <w:p>
      <w:r>
        <w:t>Le recours doit pour ce motif être admis et l'arrêt attaqué annulé. La cause est renvoyée à la Municipalité de C.________ afin qu'elle statue sur la délivrance du permis de construire sollicité, en tenant compte des nouvelles circonstances; l'autorisation spéciale de la DGE n'est en revanche plus requise (cf. déterminations de la DGE du 16 novembre 2017; art. 120 let . d de la loi sur l'aménagement du territoire et les constructions du 4 décembre 1985 [LATC; RS/VD 700.11]). Il n'y a cependant pas lieu d'allouer des dépens aux recourants: l'issue du recours fédéral était pour le moins incertaine, au moment de son dépôt, compte tenu des limites de l'objet ISM n</w:t>
      </w:r>
    </w:p>
    <w:p>
      <w:r>
        <w:t>o 416, alors en vigueur ( art. 68 al. 1 LTF ); il est à cet égard erroné d'affirmer que la présente procédure serait à l'origine de la modification du périmètre fédéral de protection, les discussions entre autorités ayant été amorcées préalablement au dépôt du recours fédéral. Pour le même motif, des frais de justice réduits sont mis à la charge des recourants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