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1C_174/2011 vom 20. Dezember 2011</w:t>
      </w:r>
    </w:p>
    <w:p>
      <w:r>
        <w:t>Bundesgericht, 2011-12-20, DE</w:t>
      </w:r>
    </w:p>
    <w:p>
      <w:r>
        <w:rPr>
          <w:b/>
        </w:rPr>
        <w:t xml:space="preserve">Quelle: </w:t>
      </w:r>
      <w:r>
        <w:t>https://mcp.opencaselaw.ch/entscheid/bger_1C_174_2011</w:t>
      </w:r>
    </w:p>
    <w:p>
      <w:r>
        <w:t>FR: TF 1C_174/2011 du 20 décembre 2011</w:t>
      </w:r>
    </w:p>
    <w:p>
      <w:r>
        <w:t>IT: TF 1C_174/2011 del 20 dicembre 2011</w:t>
      </w:r>
    </w:p>
    <w:p>
      <w:pPr>
        <w:pStyle w:val="Heading2"/>
      </w:pPr>
      <w:r>
        <w:t>Erwägungen</w:t>
      </w:r>
    </w:p>
    <w:p>
      <w:r>
        <w:rPr>
          <w:b/>
        </w:rPr>
        <w:t>E. 1</w:t>
      </w:r>
    </w:p>
    <w:p>
      <w:r>
        <w:t>Mit dem Begehren Ziff. 2 ersucht der Beschwerdeführer das Bundesgericht um Feststellung der mehrfachen Unterdrückung und Vernichtung von Beweisunterlagen. Er legt nicht dar, in welchem Verfahren er diese Feststellung verlangt. Er zeigt in keiner Weise auf, worum es ihm mit diesem Antrag geht und auf welche Sachumstände er sein Begehren stützt. In diesem Punkt kann auf die Beschwerde von vornherein nicht eingetreten werden.</w:t>
      </w:r>
    </w:p>
    <w:p>
      <w:r>
        <w:rPr>
          <w:b/>
        </w:rPr>
        <w:t>E. 2</w:t>
      </w:r>
    </w:p>
    <w:p>
      <w:r>
        <w:t>Der Beschwerdeführer verlangt mit seinem Antrag Ziff. 1 die Aufhebung von Art. 5 Abs. 1bis des Bundesgesetzes über die Verrechnungssteuer (SR 642.21). Dieser Antrag ist unzulässig. Bundesgesetze unterliegen keiner (direkten oder nachträglichen) Anfechtung bei einer Gerichtsbehörde ( Art. 189 Abs. 4 und Art. 190 BV ). Auf den Antrag kann nicht eingetreten werden.</w:t>
      </w:r>
    </w:p>
    <w:p>
      <w:r>
        <w:rPr>
          <w:b/>
        </w:rPr>
        <w:t>E. 3</w:t>
      </w:r>
    </w:p>
    <w:p>
      <w:r>
        <w:t>Der Beschwerdeführer macht geltend, anlässlich der Volksabstimmung vom 24. Februar 2008 über das Unternehmenssteuerreformgesetz II sei die Abstimmungsfreiheit nach Art. 34 Abs. 2 BV verletzt worden. Er bringt hierfür vor, dass die Erläuterungen des Bundesrates im Abstimmungsbüchlein und Äusserungen von Bundesrat Merz mit Blick auf die finanziellen Folgen der Vorlage unsachgemäss und unvollständig gewesen seien. Dadurch seien die Stimmberechtigten irregeführt worden.</w:t>
      </w:r>
    </w:p>
    <w:p>
      <w:r>
        <w:t>Mit diesen Vorbringen stellt der Beschwerdeführer die Recht- und Ordnungsmässigkeit der Volksabstimmung vom 24. Februar 2008 in Frage. Er hat sich mit seinem Anliegen am 10. April 2011 direkt an das Bundesgericht gewandt, ohne vorher bei der Kantonsregierung Beschwerde zu erheben (vgl. Art. 77 Abs. 1 lit. b des Bundesgesetzes über die politischen Rechte [BPR; SR 161.1] ).</w:t>
      </w:r>
    </w:p>
    <w:p>
      <w:r>
        <w:t>Es ist im Folgenden zu prüfen, in welchem Verfahren auf eine Volksabstimmung nach deren Erwahrung zurückgekommen werden kann, welche Verfahrensbestimmungen dabei zu befolgen sind und ob diese im vorliegenden Verfahren eingehalten worden sind.</w:t>
      </w:r>
    </w:p>
    <w:p>
      <w:r>
        <w:rPr>
          <w:b/>
        </w:rPr>
        <w:t>E. 4.1</w:t>
      </w:r>
    </w:p>
    <w:p>
      <w:r>
        <w:t>Die Justizreform mit der Neufassung von Art. 189 BV , dem Erlass des Bundesgerichtsgesetzes und der Revision des Bundesgesetzes über die politischen Rechte brachte im Bereich der eidgenössischen politischen Rechte eine fundamentale Änderung des Rechtsschutzes. Dieser wurde in letzter Instanz der obersten Justizbehörde übertragen. Auf Abstimmungsbeschwerde hin werden Streitigkeiten wegen Verletzung von eidgenössischen Bestimmungen über die politischen Rechte nunmehr durch das Bundesgericht beurteilt. Art. 80 Abs. 1 BPR und Art. 88 Abs. 1 lit. b BGG sehen in eidgenössischen Stimmrechtsangelegenheiten die Beschwerde gemäss Art. 82 lit. c BGG vor (vgl. Urteil 1C_176/2011 vom 20. Dezember 2011 E. 3).</w:t>
      </w:r>
    </w:p>
    <w:p>
      <w:r>
        <w:t>Rechts- und Rechtsmittelweg in eidgenössischen Stimmrechtsangelegenheiten richten sich in allgemeiner Weise nach dem Bundesgesetz über die politischen Rechte und dem Bundesgerichtsgesetz. Gemäss Art. 77 Abs. 1 lit. b BPR kann wegen Unregelmässigkeiten bei eidgenössischen Abstimmungen bei der Kantonsregierung Beschwerde (sog. Abstimmungsbeschwerde) geführt werden. Sie ist im Vorfeld der Abstimmung oder gleich danach innert dreier Tage seit Entdeckung einer Unregelmässigkeit zu erheben, gemäss Art. 77 Abs. 2 BPR spätestens am dritten Tag nach Veröffentlichung der kantonalen Ergebnisse im Amtsblatt. Der Entscheid der Kantonsregierung kann nach Art. 80 Abs. 1 BPR in Verbindung mit Art. 88 Abs. 1 lit. b und Art. 100 Abs. 3 lit. b BGG wegen Verletzung der politischen Rechte innert fünf Tagen beim Bundesgericht angefochten werden. Das Beschwerderecht steht nach Art. 89 Abs. 3 BGG jeder in der betreffenden Angelegenheit stimmberechtigten Person oder politischen Parteien zu (vgl. Urteil 1C_176/2011 vom 20. Dezember 2011 E. 4.1 und 4.2).</w:t>
      </w:r>
    </w:p>
    <w:p>
      <w:r>
        <w:t>Direkt gestützt auf Art. 29 Abs. 1 und Art. 29a BV leitet sich ein Anspruch auf Überprüfung der Regularität einer Volksabstimmung ab, wenn im Nachhinein erhebliche Mängel bekannt werden und wenn Tatsachen und Beweismittel vorgebracht werden, die im Zeitraum der Abstimmung nicht bekannt waren, die aus rechtlichen oder tatsächlichen Gründen nicht geltend gemacht werden konnten oder die mangels Veranlassung nicht geltend gemacht werden mussten (vgl. Urteil 1C_176/2011 vom 20. Dezember 2011 E. 4.3 und 4.5).</w:t>
      </w:r>
    </w:p>
    <w:p>
      <w:r>
        <w:t>Soweit in diesem Sinne hernach erhebliche Tatsachen und Beweise zutage treten, die das Abstimmungsverfahren wegen gravierender Mängel als fragwürdig erscheinen lassen könnten, rechtfertigt es sich, die Verfahrensbestimmungen des Bundesgesetzes über die politischen Rechte analog anzuwenden (Urteil 1C_176/2011 vom 20. Dezember 2011 E. 4.6). Das bedeutet, dass das Verfahren grundsätzlich bei der Kantonsregierung einzuleiten ist ( BGE 137 II 177 ). Zudem ist erforderlich, dass neu entdeckte Tatsachen und Beweismittel im Sinne von Art. 77 Abs. 2 BPR unverzüglich geltend gemacht werden. Dabei ist das zeitliche Erfordernis mit Bezug auf Erkennbarkeit und Substantiierung eines Mangels sachgerecht anzuwenden ( BGE 121 I 1 E. 3b und 4 S. 5; Urteil vom 26. Mai 1995 E. 2b, in: ZBl 97/1996 S. 233).</w:t>
      </w:r>
    </w:p>
    <w:p>
      <w:r>
        <w:rPr>
          <w:b/>
        </w:rPr>
        <w:t>E. 4.2</w:t>
      </w:r>
    </w:p>
    <w:p>
      <w:r>
        <w:t>Es kann im vorliegenden Fall offen bleiben, wie es sich mit dem Umstand verhält, dass der Beschwerdeführer direkt das Bundesgericht angerufen hat. Ausschlaggebend sind im vorliegenden Fall die zeitlichen Verhältnisse. Anfangs März 2011 wurde bekannt, dass zahlreiche Unternehmen von den Möglichkeiten der Unternehmenssteuerreform Gebrauch machen würden und dass dadurch für den Bund beträchtliche Steuerausfälle entstünden. Anlässlich einer Fragestunde im Nationalrat (AB 2011 N 350 ff.) und einer Pressekonferenz vom 14. März 2011 bestätigte Bundesrätin Widmer-Schlumpf, dass die Steuerausfälle wesentlich höher ausfallen würden als bei der Ausarbeitung der Vorlage angenommen und in den Erläuterungen des Bundesrates zur Abstimmung ausgewiesen worden war. Darüber berichteten die Medien ausgiebig. Der Beschwerdeführer nimmt explizit darauf Bezug. Er erwähnt zudem die Vorkehren, die Nationalrätin Margret Kiener Nellen unternommen hat. Diese reichte am 17. März 2011 beim Regierungsrat des Kantons Bern Beschwerde ein (vgl. Urteil 1C_176/2011 vom 20. Dezember 2011). Zudem hat Nationalrat Daniel Jositsch am 16. März 2011 beim Regierungsrat des Kantons Zürich Beschwerde erhoben (vgl. Urteil 1C_182/2011 vom 20. Dezember 2011). Auch darüber war in der Presse berichtet worden.</w:t>
      </w:r>
    </w:p>
    <w:p>
      <w:r>
        <w:t>Der Beschwerdeführer hat seine Beschwerde dem Bundesgericht am 10. April 2011 eingereicht. Vor dem dargelegten zeitlichen Hintergrund kann auch bei grosszügiger Anwendung der Fristerfordernisse nach dem Bundesgesetz über die politischen Rechte nicht gesagt werden, der Beschwerdeführer hätte seine Beschwerde unverzüglich erhoben. Von der Einhaltung der dreitägigen Frist gemäss Art. 77 Abs. 2 BPR ist die Beschwerde weit entfernt.</w:t>
      </w:r>
    </w:p>
    <w:p>
      <w:r>
        <w:t>Bei dieser Sachlage erweist sich die vorliegende Beschwerde als verspätet. Es ist daher auch in diesem Punkte darauf nicht einzutreten. Für eine materielle Beurteilung der aufgeworfenen Fragen kann auf die Urteile 1C_176/2011 und 1C_182/2011 vom 20. Dezember 2011 verwiesen werden.</w:t>
      </w:r>
    </w:p>
    <w:p>
      <w:r>
        <w:rPr>
          <w:b/>
        </w:rPr>
        <w:t>E. 5</w:t>
      </w:r>
    </w:p>
    <w:p>
      <w:r>
        <w:t>Auf die Beschwerde ist demnach nicht einzutreten. Es rechtfertigt sich, keine Kosten zu erheben ( Art. 66 Abs. 1 Satz 2 BGG ). Damit wird das Gesuch um Gewährung der unentgeltlichen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