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1C_173/2018 vom 19. Dezember 2018</w:t>
      </w:r>
    </w:p>
    <w:p>
      <w:r>
        <w:t>Bundesgericht, 2018-12-19, FR</w:t>
      </w:r>
    </w:p>
    <w:p>
      <w:r>
        <w:rPr>
          <w:b/>
        </w:rPr>
        <w:t xml:space="preserve">Quelle: </w:t>
      </w:r>
      <w:r>
        <w:t>https://mcp.opencaselaw.ch/entscheid/bger_1C_173_2018</w:t>
      </w:r>
    </w:p>
    <w:p>
      <w:r>
        <w:t>FR: TF 1C_173/2018 du 19 décembre 2018</w:t>
      </w:r>
    </w:p>
    <w:p>
      <w:r>
        <w:t>IT: TF 1C_173/2018 del 19 dicembre 2018</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s'étant déroulés sous l'empire de l'ancien droit, c'est l'aLN qui s'applique.</w:t>
      </w:r>
    </w:p>
    <w:p>
      <w:r>
        <w:rPr>
          <w:b/>
        </w:rPr>
        <w:t>E. 3</w:t>
      </w:r>
    </w:p>
    <w:p>
      <w:r>
        <w:t>Le recourant conteste avoir obtenu la naturalisation par des déclarations mensongères.</w:t>
      </w:r>
    </w:p>
    <w:p>
      <w:r>
        <w:rPr>
          <w:b/>
        </w:rPr>
        <w:t>E. 3.1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w:t>
      </w:r>
    </w:p>
    <w:p>
      <w:r>
        <w:t>er mars 2018 consid. 3.1.1; 1C_588/2017 du 30 novembre 2017 consid. 5.1).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relatif court laps de temps séparant la déclaration sur la communauté conjugale (le 18 juin 2013), l'octroi de la naturalisation facilitée (le 28 juin 2013), le dépôt d'une requête commune en divorce (le 6 avril 2014), l'annonce officielle du départ de l'intéressé pour Genève (le 22 avril 2014), le jugement de divorce (le 3 février 2015) et son remariage au Maroc (le 25 ou le 26 novembre 2015) était de nature à fonder la présomption que cette naturalisation avait été acquise au moyen de déclarations mensongères, voire par la dissimulation de faits essentiels.</w:t>
      </w:r>
    </w:p>
    <w:p>
      <w:r>
        <w:t>Le recourant ne conteste aucun de ces éléments de fait. Quoi qu'il en pense, la présomption que sa naturalisation a été obtenue frauduleusement peut être admise, compte tenu de l'enchaînement des différents événements précités, en particulier la séparation du couple et la requête de divorce avec accord complet, intervenues moins de dix mois après l'obtention de la nationalité suisse (cf. notamment arrêts 1C_82/2018 du 31 mai 2018 consid. 4.3; 1C_503/2015 du 21 janvier 2016 consid. 3.2 et les arrêts cités).</w:t>
      </w:r>
    </w:p>
    <w:p>
      <w:r>
        <w:t>Par le biais d'un grief tiré de la violation du droit d'être entendu, le recourant entend contester le mécanisme de présomption de fait qui prévaut dans le droit de la naturalisation facilitée. Telle qu'elle est formulée, sa critique ne satisfait toutefois pas aux exigences accrues de motivation découlant de l' art. 106 al. 2 LTF ; elle est donc irrecevable ( ATF 143 IV 500 consid. 1.1 p. 503; 142 II 369 consid. 2.1 p. 372). Cela étant, il sied de rappeler que ce mécanisme a été maintes fois confirmé par la jurisprudence (cf. notamment ATF 135 II 161 consid. 3 p. 166).</w:t>
      </w:r>
    </w:p>
    <w:p>
      <w:r>
        <w:t>Pour l'instance précédente, cette présomption était renforcée par le fait notamment que les conditions de séjour du recourant en Suisse étaient précaires au moment de son premier mariage et qu'il s'était remarié moins d'une année après son divorce avec une citoyenne marocaine ayant 32 ans de moins que sa première épouse. Quoi qu'en pense le recourant, l'instance précédente pouvait en l'espèce, sans violer le droit fédéral, prendre en compte ces éléments dans son appréciation (cf. arrêts 1C_588/2017 du 30 novembre 2017 consid. 5.3.2; 1C_121/2014 du 20 août 2014 consid. 2.1.2). En outre, au vu de son argumentation, l'intéressé semble méconnaître que ces éléments ont été pris en compte pour renforcer la présomption établie et non pour l'établir.</w:t>
      </w:r>
    </w:p>
    <w:p>
      <w:r>
        <w:t>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rPr>
          <w:b/>
        </w:rPr>
        <w:t>E. 3.4</w:t>
      </w:r>
    </w:p>
    <w:p>
      <w:r>
        <w:t>Dans son mémoire, le recourant n'avance aucun élément extraordinaire qui aurait précipité la fin de son mariage. Pour renverser la présomption établie, le recourant affirme brièvement que l'union conjugale était stable durant la procédure de naturalisation et qu'il ne pouvait pas prévoir que les difficultés rencontrées par moment au sein du couple, liées notamment aux problèmes de santé de son ex-épouse, aboutiraient à une séparation puis à un divorce. Il ajoute qu'il ne lui est pas possible de prouver le développement des problèmes de santé de son ex-épouse, compte tenu du secret médical.</w:t>
      </w:r>
    </w:p>
    <w:p>
      <w:r>
        <w:t>Sur ce point, l'instance précédente a relevé - sans que cela ne soit contesté - qu'il ressortait des déclarations de l'ex-épouse que le recourant avait toujours été au courant, et donc a fortiori pendant la procédure de naturalisation facilitée, de la précarité de l'état de santé de celle-ci. Pour l'instance précédente, cet élément constituait plutôt un indice sérieux démontrant que le processus de délitement du lien conjugal était déjà passablement avancé au moment de la signature de la déclaration sur l'union conjugale et qu'il était invraisemblable que le recourant ait pu avoir la conviction que son union était alors effective et stable. En l'occurrence, le recourant n'apporte aucun argument susceptible de contredire le raisonnement de l'autorité précédente, et en particulier de démontrer qu'il n'avait pas conscience en juin 2013 de la détérioration progressive de sa relation conjugale, due notamment aux problèmes de santé de son ex-épouse et à son incapacité de trouver du travail sur Berne. Enfin, le recourant se prévaut en vain d'une prétendue addiction à l'alcool de son ex-épouse. Comme relevé par l'instance précédente, celui-ci n'en jamais fait état au cours de la procédure de première instance. De plus, il n'a jamais donné la moindre information substantielle sur une telle addiction. En définitive, les éléments avancés par la recourante ne suffisent pas à renverser la présomption établie.</w:t>
      </w:r>
    </w:p>
    <w:p>
      <w:r>
        <w:rPr>
          <w:b/>
        </w:rPr>
        <w:t>E. 3.5</w:t>
      </w:r>
    </w:p>
    <w:p>
      <w:r>
        <w:t>Il en découle que les conditions d'application de l'art. 41 aLN sont réunies et que le Tribunal administratif fédéral n'a pas violé le droit fédéral en confirmant l'annulation de la naturalisation facilitée qui avait été octroyée au recourant.</w:t>
      </w:r>
    </w:p>
    <w:p>
      <w:r>
        <w:rPr>
          <w:b/>
        </w:rPr>
        <w:t>E. 4</w:t>
      </w:r>
    </w:p>
    <w:p>
      <w:r>
        <w:t>Sur le vu de ce qui précède, le recours doit être rejeté dans la mesure de sa recevabilité.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