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1C_173/2014 vom 24. Juli 2014</w:t>
      </w:r>
    </w:p>
    <w:p>
      <w:r>
        <w:t>Bundesgericht, 2014-07-24, DE</w:t>
      </w:r>
    </w:p>
    <w:p>
      <w:r>
        <w:rPr>
          <w:b/>
        </w:rPr>
        <w:t xml:space="preserve">Quelle: </w:t>
      </w:r>
      <w:r>
        <w:t>https://mcp.opencaselaw.ch/entscheid/bger_1C_173_2014</w:t>
      </w:r>
    </w:p>
    <w:p>
      <w:r>
        <w:t>FR: TF 1C_173/2014 du 24 juillet 2014</w:t>
      </w:r>
    </w:p>
    <w:p>
      <w:r>
        <w:t>IT: TF 1C_173/2014 del 24 luglio 2014</w:t>
      </w:r>
    </w:p>
    <w:p>
      <w:pPr>
        <w:pStyle w:val="Heading2"/>
      </w:pPr>
      <w:r>
        <w:t>Erwägungen</w:t>
      </w:r>
    </w:p>
    <w:p>
      <w:r>
        <w:rPr>
          <w:b/>
        </w:rPr>
        <w:t>E. 1.1</w:t>
      </w:r>
    </w:p>
    <w:p>
      <w:r>
        <w:t>Angefochten ist ein letztinstanzlicher kantonaler Entscheid in einer öffentlich-rechtlichen Angelegenheit (vgl. Art. 82 lit. a, Art. 86 Abs. 1 lit. d und Abs. 2 BGG ). Ein Ausschlussgrund gemäss Art. 83 ff. BGG liegt nicht vor. Der Beschwerdeführer hat am vorinstanzlichen Verfahren teilgenommen, ist als Baugesuchsteller durch das angefochtene Urteil besonders berührt und hat ein schutzwürdiges Interesse an dessen Aufhebung oder Änderung ( Art. 89 BGG ). Die Beschwerde wurde form- und fristgerecht eingereicht ( Art. 42 und 100 Abs. 1 BGG ).</w:t>
      </w:r>
    </w:p>
    <w:p>
      <w:r>
        <w:rPr>
          <w:b/>
        </w:rPr>
        <w:t>E. 1.2</w:t>
      </w:r>
    </w:p>
    <w:p>
      <w:r>
        <w:t>Das angefochtene Urteil des Kantonsgerichts weist die Angelegenheit zur weiteren Behandlung an die Bewilligungsbehörden zurück. Obwohl das Kantonsgericht die erteilten Bewilligungen aufgehoben hat, schliesst sein Urteil das Verfahren - entgegen der Auffassung des Beschwerdegegners - nicht ab; dieses ist weiterhin hängig (erneut vor den kommunalen und kantonalen Bewilligungsbehörden). Das angefochtene Urteil stellt daher keinen Endentscheid, sondern einen Zwischenentscheid dar ( BGE 134 II 124 E. 1.3 S. 127; 133 II 409 E. 1.2 S. 411 f.).</w:t>
      </w:r>
    </w:p>
    <w:p>
      <w:r>
        <w:rPr>
          <w:b/>
        </w:rPr>
        <w:t>E. 1.3</w:t>
      </w:r>
    </w:p>
    <w:p>
      <w:r>
        <w:t>Ein Zwischenentscheid ist - von den hier nicht gegebenen Ausnahmen gemäss Art. 92 BGG abgesehen - beim Bundesgericht nur unter den Voraussetzungen von Art. 93 BGG anfechtbar, d.h. wenn er einen nicht wieder gutzumachenden Nachteil bewirken kann (lit. a) oder wenn die Gutheissung der Beschwerde sofort einen Endentscheid herbeiführen und damit einen bedeutenden Aufwand an Zeit oder Kosten für ein weitläufiges Beweisverfahren ersparen würde (lit. b). Diese Ausnahmevoraussetzungen sollen das Bundesgericht entlasten. Es soll sich möglichst nur einmal mit einer Sache befassen und sich überdies nicht in einem frühen Verfahrensstadium ohne genügende umfassende Sachverhaltskenntnisse teilweise materiell festlegen müssen. Können allfällige Nachteile in verhältnismässiger Weise auch noch mit einer bundesgerichtlichen Beurteilung nach Ausfällung des Endentscheids behoben werden, so tritt das Bundesgericht auf eine Beschwerde gegen einen Zwischenentscheid nicht ein ( BGE 135 II 30 E. 1.3.2 S. 34 f.). Die blosse Verzögerung oder Verteuerung des Verfahrens genügt generell nicht, um einen sofortigen Entscheid des Bundesgerichts zu erwirken, Immerhin muss sichergestellt werden, dass das Verfahren insgesamt dem verfassungsrechtlichen Gebot genügt, im Rahmen eines fairen Verfahrens innert angemessener Frist einen wirksamen Rechtsschutz zu gewähren ( Art. 29 Abs. 1 BV ; Art. 6 Ziff. 1 EMRK ). Unter diesem Aspekt kann es ausnahmsweise verfassungsrechtlich geboten sein, bereits auf einen Zwischenentscheid einzutreten, wenn es rechtsstaatlich unzumutbar wäre, die Parteien auf die Anfechtung des Endentscheids zu verweisen ( BGE 136 II 165 E. 1.2.1 S. 170 f. mit Hinweis).</w:t>
      </w:r>
    </w:p>
    <w:p>
      <w:r>
        <w:rPr>
          <w:b/>
        </w:rPr>
        <w:t>E. 1.4</w:t>
      </w:r>
    </w:p>
    <w:p>
      <w:r>
        <w:t>Auf die zweite Ausnahme ( Art. 93 Abs. 1 lit. b BGG ) beruft sich der Beschwerdeführer nicht (vgl. Beschwerde I.2. Ziff. 5). Er bringt jedoch vor, die Rückweisung zur weiteren Abklärung bedeute für ihn einen nicht wieder gutzumachenden Nachteil. Die Gründe, die er dazu anführt (vgl. Sachverhaltsabschnitt C hiervor), sind zwar durchaus nachvollziehbar. Sie lassen aber ersehen, dass es ihm vor allem darum geht, eine Verlängerung und Verteuerung des Verfahrens als Folge weiterer Sachverhaltsabklärungen und sich daraus allenfalls ergebender Projektänderungen zu vermeiden. Gewiss weist er zudem auf die ihm eingeräumte Frist von 18 Monaten ab Eintritt der Rechtskraft der beantragten Baubewilligung hin, innert der er die alte Schweinescheune ersetzt haben müsse, wenn er die Einnahmen aus der Schweinemast - seine Haupteinnahmequelle - nicht verlieren wolle. Solange die Baubewilligung nicht in Rechtskraft erwächst, läuft diese Frist indessen nicht, weshalb keine besondere zeitliche Dringlichkeit angenommen werden kann. Der Beschwerdeführer behauptet auch, müsste das Bauprojekt neu aufgerollt werden, sei mit einer massiv kürzeren Übergangsfrist zu rechnen. Mit dieser unbelegten Behauptung übersieht er, dass die Vorinstanz in ihrem Rückweisungsentscheid keine Änderung des Bauprojekts, sondern zusätzliche Abklärungen bezüglich dessen Zulässigkeit verlangt. Es ist zudem verständlich, dass die Vorinstanz für die Beurteilung der neuen Schweinemasthalle in unmittelbarer Nachbarschaft einer Wohnzone, der Dorfzone und einer Zone für öffentliche Nutzung mit Kindergarten in jeder Hinsicht einwandfreie Abklärungen und verlässliche, dem aktuellen Stand der Technik entsprechende Grundlagen voraussetzt. Die sich aus problematischer Lage ergebenden Detailabklärungen können, jedenfalls soweit sie sich im Rahmen eines Beweisverfahrens wie hier sachlich rechtfertigen lassen, keinen Verstoss gegen das Beschleunigungsgebot ( Art. 29 Abs. 1 BV ) begründen. Im Zusammenhang mit der hier zu beurteilenden Rückweisung kann daher nicht von einer übermässig langen Verfahrensdauer gesprochen werden (vgl. dazu: BGE 136 II 165 E. 1.2.2 S. 171; 370 E. 1.5 S. 374). Dies umso weniger, als das Kantonsgericht erfolglos versucht hat, die offenen Fragen durch einen mehrmaligen Schriftenwechsel selber zu klären, und nicht erwartet werden kann, dass ein Augenschein genügt hätte, um die fehlenden Informationen beizubringen. Unter diesen Umständen kann nicht gesagt werden, die Rückweisung der Angelegenheit zur weiteren Behandlung im Sinne der vorinstanzlichen Erwägungen bedeute einen unzumutbaren und nicht wieder gutzumachenden Nachteil im Sinne von Art. 93 Abs. 1 lit. a BGG . Die Eintretensvoraussetzungen sind somit nicht erfüllt.</w:t>
      </w:r>
    </w:p>
    <w:p>
      <w:r>
        <w:rPr>
          <w:b/>
        </w:rPr>
        <w:t>E. 2</w:t>
      </w:r>
    </w:p>
    <w:p>
      <w:r>
        <w:t>Nach dem Ausgeführten ist auf die Beschwerde nicht einzutreten. Bei diesem Ergebnis wird der Beschwerdeführer kostenpflichtig. Er hat die Verfahrenskosten zu tragen ( Art. 66 Abs. 1 BGG ) und dem Beschwerdegegner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