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1C_173/2013 vom 30. August 2013</w:t>
      </w:r>
    </w:p>
    <w:p>
      <w:r>
        <w:t>Bundesgericht, 2013-08-30, DE</w:t>
      </w:r>
    </w:p>
    <w:p>
      <w:r>
        <w:rPr>
          <w:b/>
        </w:rPr>
        <w:t xml:space="preserve">Quelle: </w:t>
      </w:r>
      <w:r>
        <w:t>https://mcp.opencaselaw.ch/entscheid/bger_1C_173_2013</w:t>
      </w:r>
    </w:p>
    <w:p>
      <w:r>
        <w:t>FR: TF 1C_173/2013 du 30 août 2013</w:t>
      </w:r>
    </w:p>
    <w:p>
      <w:r>
        <w:t>IT: TF 1C_173/2013 del 30 agosto 2013</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einzutreten ist.</w:t>
      </w:r>
    </w:p>
    <w:p>
      <w:r>
        <w:rPr>
          <w:b/>
        </w:rPr>
        <w:t>E. 2.1</w:t>
      </w:r>
    </w:p>
    <w:p>
      <w:r>
        <w:t>Das Führen eines Motorfahrzeugs ohne den erforderlichen Führerausweis wird nach Art. 95 Abs. 1 lit. a SVG mit Freiheitsstrafe bis zu drei Jahren oder Geldstrafe bestraft. Verwaltungsrechtlich stellt dieses Verhalten eine mittelschwere Widerhandlung gegen die Verkehrsregeln dar ( Art. 16b Abs. 1 lit. c SVG ), die mit einem Führerausweisentzug von mindestens einem Monat geahndet wird ( Art. 16 Abs. 2 lit. a SVG ).</w:t>
      </w:r>
    </w:p>
    <w:p>
      <w:r>
        <w:rPr>
          <w:b/>
        </w:rPr>
        <w:t>E. 2.2</w:t>
      </w:r>
    </w:p>
    <w:p>
      <w:r>
        <w:t>Das Verkehrsamt entzog dem Beschwerdeführer den Führerausweis gestützt auf den Polizeirapport vom 18. Mai 2012. Weitere Beweise wurden nicht erhoben. Er beteiligte sich nicht am Verfahren und nahm die Zustellungen der Entzugsverfügung nicht entgegen. Der Beschwerdeführer kritisiert die Auffassung des Verwaltungsgerichts, wonach er die Entzugsverfügung des Verkehrsamts nach Ablauf der Rechtsmittelfrist und damit verspätet angefochten habe, zu Recht nicht, es kann auf die zutreffenden Ausführungen im angefochtenen Entscheid (E. 1.2 - 3.2 S. 3 ff.) verwiesen werden. Sein Einwand, er habe vom Strafverfahren gegen ihn keine Kenntnis gehabt und deshalb nicht damit rechnen müssen, dass ein Administrativverfahren gegen ihn hängig sei, ist unbegründet. Nachdem der Beschwerdeführer am 3. März 2012 von der Polizei kontrolliert worden war, musste er davon ausgehen, dass gegen ihn unabhängig von einem allfälligen Strafverfahren ein Administrativverfahren eröffnet werden würde.</w:t>
      </w:r>
    </w:p>
    <w:p>
      <w:r>
        <w:rPr>
          <w:b/>
        </w:rPr>
        <w:t>E. 2.3</w:t>
      </w:r>
    </w:p>
    <w:p>
      <w:r>
        <w:t>Als Nichtigkeitsgründe fallen hauptsächlich die funktionelle und sachliche Unzuständigkeit einer Behörde sowie schwere Verfahrensfehler in Betracht. Inhaltliche Mängel haben nur in seltenen Ausnahmefällen die Nichtigkeit einer Verfügung zur Folge (vgl. BGE 138 III 49 E. 4.4.3; 132 II 21 E. 3.1 S. 27 mit Hinweisen).</w:t>
      </w:r>
    </w:p>
    <w:p>
      <w:r>
        <w:t>Die Entzugsverfügung des Verkehrsamts wurde von der zuständigen Behörde im dafür vorgesehenen Verfahren erlassen. Dass ihm dabei schwere Verfahrensfehler unterlaufen wären, ist weder dargetan noch ersichtlich. Die vom Beschwerdeführer gerügten (angeblichen) inhaltlichen Mängel - namentlich die Verletzung des Legalitätsprinzips - vermögen die Annahme von Nichtigkeit nicht zu begründen. Die Entzugsverfügung ist daher, entgegen der Auffassung des Beschwerdeführers, keineswegs nichtig.</w:t>
      </w:r>
    </w:p>
    <w:p>
      <w:r>
        <w:rPr>
          <w:b/>
        </w:rPr>
        <w:t>E. 2.4</w:t>
      </w:r>
    </w:p>
    <w:p>
      <w:r>
        <w:t>Damit ergibt sich, dass die nicht an einem Nichtigkeitsgrund leidende Entzugsverfügung des Verkehrsamts zu spät - nämlich erst zusammen mit der polizeilichen Aufforderung vom 16. Oktober 2012, den Führerausweis abzugeben - angefochten wurde. Es ist daher nicht zu beanstanden, dass das Verwaltungsgericht auf die Beschwerde nicht eintrat.</w:t>
      </w:r>
    </w:p>
    <w:p>
      <w:r>
        <w:rPr>
          <w:b/>
        </w:rPr>
        <w:t>E. 2.5</w:t>
      </w:r>
    </w:p>
    <w:p>
      <w:r>
        <w:t>Am 2. April 2013 und damit während des bundesgerichtlichen Verfahrens hat die Staatsanwaltschaft Innerschwyz das Strafverfahren gegen den Beschwerdeführer eingestellt. Diese Einstellungsverfügung stellt somit ein Novum dar. Es kann vom Bundesgericht nicht berücksichtigt werden, da das Straf- und das Administrativverfahren unabhängig voneinander geführt wurden und der angefochtene Entscheid des Verwaltungsgerichts damit keineswegs Anlass zum Erlass der Einstellungsverfügung im Sinn von Art. 99 Abs. 1 BGG bot.</w:t>
      </w:r>
    </w:p>
    <w:p>
      <w:r>
        <w:t>Allerdings stellt die Einstellungsverfügung nachträglich die Rechtmässigkeit der Entzugsverfügung in Frage. Das Strafverfahren wurde eingestellt, weil dem Beschwerdeführer kein tatbeständliches Verhalten nachzuweisen war. Es ist unter diesen Umständen wohl nicht ausgeschlossen, dass das Verkehrsamt auf seine Verfügung zurückkommt, obwohl der Beschwerdeführer die Gelegenheit zur Geltendmachung seiner Rechte im Administrativverfahren versäumt und die Frist zur Anfechtung der Anordnung verpasst hat, was er grundsätzlich selber zu verantworten hat. Ein Rückkommen auf die Entzugsverfügung wäre in einem Wiedererwägungsverfahren abschliessend zu klären, welches das dem Gesetzmässigkeitsprinzip verpflichtete Verkehrsamt von Amtes wegen oder auf Antrag des Beschwerdeführers eröffnen kann.</w:t>
      </w:r>
    </w:p>
    <w:p>
      <w:r>
        <w:rPr>
          <w:b/>
        </w:rPr>
        <w:t>E. 3</w:t>
      </w:r>
    </w:p>
    <w:p>
      <w:r>
        <w:t>Die Beschwerde ist damit unbegründet und abzuweisen. Bei diesem Ausgang des Verfahrens wird der Beschwerdeführer kostenpflichtig ( Art. 66 Abs. 1 BGG ). Er hat zwar ein Gesuch um unentgeltliche Rechtspflege und Verbeiständung gestellt, welches indessen abzuweisen ist, da die Beschwerde aussichtslos war ( Art. 64 Abs. 1 und 2 BGG ); der Umstand, dass sich die Rechtslage durch die nachträglich ergangene Einstellungsverfügung zu seinen Gunsten verändert hat, ändert daran nichts. Indessen erscheint es mit Blick auf die gesamten Umstände als gerechtfertigt, ihm nur eine bescheidene Gerichtsgebühr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