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1C_172/2025 vom 1. Oktober 2025</w:t>
      </w:r>
    </w:p>
    <w:p>
      <w:r>
        <w:t>Bundesgericht, 2025-10-01, FR</w:t>
      </w:r>
    </w:p>
    <w:p>
      <w:r>
        <w:rPr>
          <w:b/>
        </w:rPr>
        <w:t xml:space="preserve">Quelle: </w:t>
      </w:r>
      <w:r>
        <w:t>https://mcp.opencaselaw.ch/entscheid/bger_1C_172_2025</w:t>
      </w:r>
    </w:p>
    <w:p>
      <w:r>
        <w:t>FR: TF 1C_172/2025 du 1 octobre 2025</w:t>
      </w:r>
    </w:p>
    <w:p>
      <w:r>
        <w:t>IT: TF 1C_172/2025 del 1 ottobre 2025</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(arrêts 1C_662/2023 du 2 avril 2024 consid. 1; 8C_295/2019 du 5 mai 2020 consid. 1). La valeur litigieuse atteint par ailleurs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en matière de droit public est en principe recevable.</w:t>
      </w:r>
    </w:p>
    <w:p>
      <w:r>
        <w:rPr>
          <w:b/>
        </w:rPr>
        <w:t>E. 2</w:t>
      </w:r>
    </w:p>
    <w:p>
      <w:r>
        <w:t>Le recourant se plaint d'une appréciation arbitraire des preuves.</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148 I 160 consid. 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150 IV 360 consid. 3.21; 148 IV 39 consid. 2.3.5). Conformément à l' art. 106 al. 2 LTF , la partie recourante ne peut se borner à contredire les constatations litigieuses par ses propres allégations ou par l'exposé de sa propre appréciation des preuves; elle doit indiquer de façon précise en quoi ces constatations sont arbitraires au sens de l' art. 9 Cst. ( ATF 147 I 73 consid. 2.2; 133 II 249 consid. 1.4.3).</w:t>
      </w:r>
    </w:p>
    <w:p>
      <w:r>
        <w:rPr>
          <w:b/>
        </w:rPr>
        <w:t>E. 2.2</w:t>
      </w:r>
    </w:p>
    <w:p>
      <w:r>
        <w:t>Le recourant reproche à l'instance précédente d'avoir donné trop de poids aux déclarations des témoins dont les propos corroboraient les reproches faits par B.________ et de ne pas avoir suffisamment tenu compte des autres témoignages, dont elle aurait écarté certaines parties sans raison objective. Le recourant reprend les propos tenus par les différents témoins et soutient - comme il l'avait par ailleurs déjà fait devant la Cour cantonale - qu'ils auraient dû être interprétés d'une manière différente. Il considère notamment qu'un examen objectif des différents témoignages aurait dû conduire la Cour de justice à conclure que les déclarations de B.________ et des témoins corroborant les propos de cette dernière contenaient des incohérences manifestes. Il affirme partant que la Cour aurait dû conclure qu'il n'existait pas suffisamment d'éléments pour retenir l'existence d'un cas de harcèlement sexuel.</w:t>
      </w:r>
    </w:p>
    <w:p>
      <w:r>
        <w:t>Ce faisant, le recourant se contente d'exposer sa propre lecture des différents témoignages et de l'opposer à celle qu'en a fait la Cour de justice. En effet, cette dernière a examiné en détail les déclarations récoltées au cours de l'enquête administrative. Elle a considéré que B.________ était crédible et que son témoignage était corroboré par ceux d'autres témoins; il existait des raisons objectives justifiant les divergences entre certains témoignages et les éventuelles incohérences ne suffisaient pas à discréditer B.________. Il existait des raisons sérieuses d'écarter certains témoignages et il pouvait être retenu que la majorité des actes imputés par l'enquêtrice au recourant étaient dûment établis par le dossier. Certes, la Cour cantonale n'a pas précisé, individuellement pour chaque témoignage écarté, les raisons détaillées qui l'ont poussée à ne pas tenir compte de toutes les déclarations; on comprend toutefois que les explications données par la Cour cantonale en lien avec les déclarations portant sur un épisode ayant eu lieu en salle de pause le 27 février 2023 valent également pour le reste des témoignages, à savoir que l'enquête avait eu lieu plusieurs mois après les faits, que les collaborateurs avaient gardé contact avec le recourant, que certains d'entre eux se trouvaient en conflit de loyauté et qu'ils avaient discuté de l'affaire entre eux.</w:t>
      </w:r>
    </w:p>
    <w:p>
      <w:r>
        <w:t>Au vu de ce qui précède, le recourant ne parvient pas à établir que l'autorité précédente aurait fait preuve d'arbitraire dans l'établissement des faits et l'appréciation des preuves. Partant, le grief est rejeté.</w:t>
      </w:r>
    </w:p>
    <w:p>
      <w:r>
        <w:rPr>
          <w:b/>
        </w:rPr>
        <w:t>E. 3</w:t>
      </w:r>
    </w:p>
    <w:p>
      <w:r>
        <w:t>Le recourant estime que l'autorité précédente aurait violé le principe de proportionnalité en confirmant sa révocation et qu'une sanction moins sévère aurait dû être prononcée.</w:t>
      </w:r>
    </w:p>
    <w:p>
      <w:r>
        <w:rPr>
          <w:b/>
        </w:rPr>
        <w:t>E. 3.1.1</w:t>
      </w:r>
    </w:p>
    <w:p>
      <w:r>
        <w:t>Conformément à l'art. 16 al. 1 de la loi générale genevoise relative au personnel de l'administration cantonale, du pouvoir judiciaire et des établissements publics médicaux du 4 décembre 1997 (LPAC; RS/GE B 5 05), les fonctionnaires et les employés qui enfreignent leurs devoirs de service, soit intentionnellement, soit par négligence, peuvent faire l'objet, selon la gravité de la violation, d'un blâme (let. a), d'une suspension d'augmentation du traitement pendant une durée déterminée ou d'une réduction de traitement à l'intérieur de la classe (let. b) ou d'un retour au statut d'employé en période probatoire pour une durée maximale de trois ans ou d'une révocation (let. c).</w:t>
      </w:r>
    </w:p>
    <w:p>
      <w:r>
        <w:t>Les devoirs des membres du personnel de la fonction publique du canton de Genève sont énoncés dans le titre III du règlement du 24 février 1999 d'application de la LPAC (RPAC; RS/GE B 5 05.01).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ainsi que de permettre et de faciliter la collaboration entre ces personnes (art. 21 let. a RPAC), d'établir des contacts empreints de compréhension et de tact avec le public (art. 21 let. b RPAC) et de justifier et de renforcer la considération et la confiance dont la fonction publique doit être l'objet ( art. 21 let . c RPAC).</w:t>
      </w:r>
    </w:p>
    <w:p>
      <w:r>
        <w:t>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(arrêts 8C_126/2023 du 4 septembre 2023 consid. 3.1.4; 8C_610/2021 du 2 février 2022 consid. 4.4 et références).</w:t>
      </w:r>
    </w:p>
    <w:p>
      <w:r>
        <w:t>L'autorité dispose d'un large pouvoir d'appréciation pour juger si les manquements d'un fonctionnaire sont susceptibles de rendre la continuation des rapports de service incompatible avec le bon fonctionnement de l'administration et pour choisir la sanction disciplinaire qu'elle considère appropriée.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 8C_610/2021 précité consid. 4.3 et références). En tant que les rapports de service relèvent du droit public, l'autorité doit néanmoins respecter le principe de la proportionnalité ( art. 5 al. 2 Cst. ). Bien que de rang constitutionnel, le principe de la proportionnalité ne constitue pas un droit constitutionnel avec une portée propre ( ATF 136 I 241 consid. 3.1; arrêt 1C_171/2024 du 11 avril 2025 consid. 3.2). Aussi, lorsque ce principe est invoqué en relation avec l'application du droit cantonal (en dehors du domaine de protection d'un droit fondamental spécial), le Tribunal fédéral ne revoit pas son respect librement, mais seulement sous l'angle de l'arbitraire ( ATF 141 I 1 consid. 5.3.2; arrêt 1C_171/2024 précité consid. 3.2).</w:t>
      </w:r>
    </w:p>
    <w:p>
      <w:r>
        <w:rPr>
          <w:b/>
        </w:rPr>
        <w:t>E. 3.1.2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Le grief de violation du droit cantonal est soumis à des exigences de motivation accrue ( art. 106 al. 2 LTF ; cf. ATF 142 II 369 consid. 2.1).</w:t>
      </w:r>
    </w:p>
    <w:p>
      <w:r>
        <w:rPr>
          <w:b/>
        </w:rPr>
        <w:t>E. 3.2</w:t>
      </w:r>
    </w:p>
    <w:p>
      <w:r>
        <w:t>Devant le Tribunal fédéral, le recourant oppose son appréciation à celle de la Cour cantonale. Il reproche en particulier à cette dernière de ne pas avoir tenu compte d'éléments positifs établis par l'enquête, à savoir notamment le fait que le recourant n'avait pas d'antécédents, qu'il entretenait de très bons contacts avec ses collègues, qu'il était considéré comme un pilier de son secteur et qu'il était extraverti, de nature joviale et bienveillante, plein d'humour et toujours de bonne humeur. Il soutient que la prise en compte de ces différents éléments aurait dû conduire à une sanction plus légère que la révocation.</w:t>
      </w:r>
    </w:p>
    <w:p>
      <w:r>
        <w:t>Cette critique tombe à faux. En effet, la Cour cantonale a considéré que les manquements du recourant étaient, au vu de leur répétition et pris dans leur ensemble, graves et dûment établis par le dossier de l'enquête. Ils étaient constitutifs d'une atteinte à la personnalité de B.________ relevant du harcèlement sexuel et violaient de manière aiguë le devoir du recourant d'entretenir des relations dignes et correctes avec ses collègues. Ces actes étaient incompatibles avec le comportement attendu d'un employé de la fonction publique. Tout en relevant la durée de l'engagement du recourant, ses qualités professionnelles, sa jovialité, son entrain et sa disponibilité, la Cour de justice a également rappelé que la hiérarchie du recourant lui avait à plusieurs reprises prié de modérer son ton et son humour, qu'il avait reçu des remarques de certains collègues et qu'il avait suivi une formation en ligne concernant l'inadmissibilité des blagues sexistes, des images de type pornographique et des contacts corporels non désirés. Elle a ainsi estimé que les qualités du recourant ne suffisaient pas à pallier le risque d'atteinte à la personnalité des collègues du recourant, en particulier féminines.</w:t>
      </w:r>
    </w:p>
    <w:p>
      <w:r>
        <w:t>Ce faisant, la Cour cantonale a procédé à une appréciation globale de la situation, y compris des qualités professionnelles et personnelles du recourant, pour arriver à la conclusion que seule la révocation du recourant permettait de protéger les membres de l'OCV contre des atteintes potentielles à leur personnalité. Partant, même si la révocation peut sembler sévère, l'instance précédente n'a pas appliqué le principe de proportionnalité de manière arbitraire et ce grief doit être écarté.</w:t>
      </w:r>
    </w:p>
    <w:p>
      <w:r>
        <w:rPr>
          <w:b/>
        </w:rPr>
        <w:t>E. 4</w:t>
      </w:r>
    </w:p>
    <w:p>
      <w:r>
        <w:t>Les considérants qui précèdent conduisent au rejet du recours. Les frais judiciaires, arrêtés à 3'000 fr., sont à la charge du recourant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