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172/2016 vom 10. Juni 2016</w:t>
      </w:r>
    </w:p>
    <w:p>
      <w:r>
        <w:t>Bundesgericht, 2016-06-10, FR</w:t>
      </w:r>
    </w:p>
    <w:p>
      <w:r>
        <w:rPr>
          <w:b/>
        </w:rPr>
        <w:t xml:space="preserve">Quelle: </w:t>
      </w:r>
      <w:r>
        <w:t>https://mcp.opencaselaw.ch/entscheid/bger_1C_172_2016</w:t>
      </w:r>
    </w:p>
    <w:p>
      <w:r>
        <w:t>FR: TF 1C 172/2016 du 10 juin 2016</w:t>
      </w:r>
    </w:p>
    <w:p>
      <w:r>
        <w:t>IT: TF 1C 172/2016 del 10 giugno 2016</w:t>
      </w:r>
    </w:p>
    <w:p>
      <w:pPr>
        <w:pStyle w:val="Heading2"/>
      </w:pPr>
      <w:r>
        <w:t>Regeste</w:t>
      </w:r>
    </w:p>
    <w:p>
      <w:r>
        <w:t>Entraide judiciaire internationale en matière pénale à la République française; remise de moyens de preuve | Entraide et extradition</w:t>
      </w:r>
    </w:p>
    <w:p>
      <w:pPr>
        <w:pStyle w:val="Heading2"/>
      </w:pPr>
      <w:r>
        <w:t>Erwägungen</w:t>
      </w:r>
    </w:p>
    <w:p>
      <w:r>
        <w:rPr>
          <w:b/>
        </w:rPr>
        <w:t>E. 1</w:t>
      </w:r>
    </w:p>
    <w:p>
      <w:r>
        <w:t>Selon l' art. 109 al. 1 LTF , la cour siège à trois juges - et, selon l' art. 107 al. 3 LTF , dans les quinze jours suivant la fin d'un éventuel échange d'écritures -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une relation bancaire déterminée) et de l'objet de la procédure étrangère, limité à des infractions de droit commun, le cas ne revêt en soi aucune importance particulière.</w:t>
      </w:r>
    </w:p>
    <w:p>
      <w:r>
        <w:rPr>
          <w:b/>
        </w:rPr>
        <w:t>E. 1.3</w:t>
      </w:r>
    </w:p>
    <w:p>
      <w:r>
        <w:t>La recourante soutient que la Cour des plaintes se serait écartée de la jurisprudence constante relative à l' art. 28 EIMP en n'exigeant pas de l'Etat requérant qu'il explique en quoi les comptes concernés auraient pu être utilisés dans la commission des actes poursuivis. La recourante ne conteste pas que l'exposé fourni à l'appui de la demande d'entraide satisfait en soi aux exigences des art. 14 CEEJ et 28 EIMP. S'agissant de son propre compte, l'arrêt attaqué relève non seulement que le directeur et ayant droit de la recourante sont des personnes visées par l'enquête, mais aussi que certains mouvements de fonds coïncideraient avec des opérations incriminées. Cela suffit manifestement à justifier l'intérêt de l'autorité étrangère, lequel a été confirmé par les enquêteurs venus en Suisse. Contrairement à ce que soutient la recourante, il n'est pas exigé de l'Etat requérant qu'il fournisse une motivation spécifique pour chacun des comptes visés. L'arrêt attaqué s'en tient sur ce point à la jurisprudence constante.</w:t>
      </w:r>
    </w:p>
    <w:p>
      <w:r>
        <w:rPr>
          <w:b/>
        </w:rPr>
        <w:t>E. 1.4</w:t>
      </w:r>
    </w:p>
    <w:p>
      <w:r>
        <w:t>Le défaut de transparence que la recourante reproche aux autorités requérante et requise ne constitue pas non plus un motif d'entrée en matière. La recourante ne prétend d'ailleurs pas qu'il se poserait une question de principe à ce propos. L'Etat requérant n'a pas à informer l'autorité requise de tous les incidents de sa propre procédure, dans la mesure où ceux-ci n'affectent pas la validité de sa demande d'entraide. A propos de la pièce que la recourante prétend n'avoir pas reçue, le TPF relève qu'elle figure en annexe à la réponse du MPC, de sorte que la recourante aurait en tout cas pu se déterminer à son sujet dans ses dernières écritures. Quoi qu'il en soit, la pièce en question, établie à titre indicatif pour faciliter le tri des documents saisis, ne vient pas contredire les faits tels qu'ils sont exposés dans la demande d'entraide.</w:t>
      </w:r>
    </w:p>
    <w:p>
      <w:r>
        <w:rPr>
          <w:b/>
        </w:rPr>
        <w:t>E. 1.5</w:t>
      </w:r>
    </w:p>
    <w:p>
      <w:r>
        <w:t>Quant aux faits nouveaux allégués en réplique, ils sont irrecevables en vertu de l' art. 99 al. 1 LTF .</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