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1C_170/2015 vom 18. August 2015</w:t>
      </w:r>
    </w:p>
    <w:p>
      <w:r>
        <w:t>Bundesgericht, 2015-08-18, FR</w:t>
      </w:r>
    </w:p>
    <w:p>
      <w:r>
        <w:rPr>
          <w:b/>
        </w:rPr>
        <w:t xml:space="preserve">Quelle: </w:t>
      </w:r>
      <w:r>
        <w:t>https://mcp.opencaselaw.ch/entscheid/bger_1C_170_2015</w:t>
      </w:r>
    </w:p>
    <w:p>
      <w:r>
        <w:t>FR: TF 1C_170/2015 du 18 août 2015</w:t>
      </w:r>
    </w:p>
    <w:p>
      <w:r>
        <w:t>IT: TF 1C_170/2015 del 18 agosto 2015</w:t>
      </w:r>
    </w:p>
    <w:p>
      <w:pPr>
        <w:pStyle w:val="Heading2"/>
      </w:pPr>
      <w:r>
        <w:t>Erwägungen</w:t>
      </w:r>
    </w:p>
    <w:p>
      <w:r>
        <w:rPr>
          <w:b/>
        </w:rPr>
        <w:t>E. 1</w:t>
      </w:r>
    </w:p>
    <w:p>
      <w:r>
        <w:t>Dirigé contre un arrêt d'irrecevabilité rendu en dernière instance cantonale dans le cadre d'une contestation portant au fond sur deux arrêtés communaux fondés sur l'art. 3 de la loi fédérale sur la circulation routière du 19 décembre 1958 (LCR; RS 741.01), le recours est recevable comme recours en matière de droit public au sens des art. 82 ss LTF .</w:t>
      </w:r>
    </w:p>
    <w:p>
      <w:r>
        <w:t>L'association recourante (ci-après également: la recourante) peut se prévaloir d'un intérêt digne de protection à se voir reconnaître la légitimation active (cf. ATF 129 II 297 consid. 2.3 p. 301; 124 II 124 consid. 1b p. 126). Elle a donc la qualité pour recourir au sens de l' art. 89 al. 1 LTF . Les autres conditions de recevabilité sont au surplus réunies de sorte qu'il y a lieu d'entrer en matière sur la question de sa qualité pour agir devant le département.</w:t>
      </w:r>
    </w:p>
    <w:p>
      <w:r>
        <w:rPr>
          <w:b/>
        </w:rPr>
        <w:t>E. 2</w:t>
      </w:r>
    </w:p>
    <w:p>
      <w:r>
        <w:t>Dans un grief d'ordre formel qu'il convient d'examiner en premier lieu, la recourante se plaint d'une violation de son droit d'être entendue.</w:t>
      </w:r>
    </w:p>
    <w:p>
      <w:r>
        <w:t>Le droit d'être entendu garantit à toute personne qui est partie à une procédure le droit d'être informée et entendue avant qu'une décision ne soit prise à son détriment. Si cette règle s'applique en principe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 ATF 129 II 497 consid. 2.2 p .504 s.; 128 V 272 consid. 5b/bb p. 278).</w:t>
      </w:r>
    </w:p>
    <w:p>
      <w:r>
        <w:t>La recourante allègue n'avoir pris connaissance du fait que la qualité pour recourir lui était niée qu'en lisant l'arrêt attaqué. En ne lui donnant pas l'occasion, en cours d'instruction, de prendre position sur cette question et de fournir de nouveaux moyens de preuve, les juges cantonaux auraient violé son droit d'être entendue. Ce faisant, elle perd toutefois de vue qu'en première instance déjà le département a expressément nié sa qualité pour agir, au terme d'une argumentation circonstanciée, avant d'entrer néanmoins en matière sur le fond et de rejeter les recours qui lui étaient soumis. Ce n'est ainsi pas "contre toute attente", de manière imprévisible - comme le prétend l'association recourante -, que le Tribunal cantonal a réformé les décisions du DDTE; il s'en suit que, même si elle n'a pas été interpelée à ce sujet, son droit d'être entendue n'a pas été violé, ce d'autant moins qu'elle s'est exprimée de manière détaillée sur la recevabilité de ses pourvois devant le département.</w:t>
      </w:r>
    </w:p>
    <w:p>
      <w:r>
        <w:rPr>
          <w:b/>
        </w:rPr>
        <w:t>E. 3</w:t>
      </w:r>
    </w:p>
    <w:p>
      <w:r>
        <w:t>Sur le fond, l'association recourante estime que la cour cantonale lui aurait à tort dénié la qualité pour recourir; elle prétend qu'une majorité de ses membres, ou à tout le moins un grand nombre d'entre eux, seraient atteints par les arrêtés communaux litigieux. Elle ne soutient en revanche pas être touchée dans ses intérêts propres. Elle n'affirme pas non plus que l'instance précédente aurait violé le droit cantonal de procédure en réformant d'office la décision du DDTE.</w:t>
      </w:r>
    </w:p>
    <w:p>
      <w:r>
        <w:rPr>
          <w:b/>
        </w:rPr>
        <w:t>E. 3.1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Il n'est pas établi que tel serait le cas en l'espèce; le Tribunal cantonal a d'ailleurs précisé que, selon la jurisprudence cantonale, la qualité pour recourir au sens de l'art. 32 de la loi sur la procédure et la juridiction administratives du 27 juin 1979 (LPJA; RSN 152.130) devait s'interpréter conformément à la jurisprudence fédérale, ce que la recourante ne conteste au demeurant pas. Il convient partant d'analyser la qualité pour recourir sous l'angle de l' art. 89 al. 1 LTF . S'agissant de droit fédéral ( art. 111 al. 1 LTF ), le Tribunal fédéral examine cette question librement.</w:t>
      </w:r>
    </w:p>
    <w:p>
      <w:r>
        <w:t>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137 II 40 consid. 2.6.4 p. 46 et les arrêts cités).</w:t>
      </w:r>
    </w:p>
    <w:p>
      <w:r>
        <w:rPr>
          <w:b/>
        </w:rPr>
        <w:t>E. 3.2</w:t>
      </w:r>
    </w:p>
    <w:p>
      <w:r>
        <w:t>Il n'est en l'espèce pas contesté que l'installation de places payantes et l'introduction d'une taxe de stationnement constituent des limitations fonctionnelles du trafic au sens de l' art. 3 al. 4 LCR . Le Tribunal cantonal a jugé qu'il existait dès lors un lien direct et étroit entre le but statutaire de l'association recourante et le domaine dans lequel les décisions litigieuses ont été prises. Il est également constant que la recourante a pour but la défense des intérêts de ses membres. La cour cantonale a en revanche nié que les intérêts d'une majorité de ceux-ci, ou à tout le moins d'un grand nombre d'entre eux, étaient susceptibles d'être atteints par les mesures envisagées.</w:t>
      </w:r>
    </w:p>
    <w:p>
      <w:r>
        <w:t>La recourante affirme, au contraire, que, dès lors que tous ses membres sont domiciliés dans les districts du Locle et de La Chaux-de-Fonds, une partie d'entre eux utiliserait "plus ou moins régulièrement" les parkings en cause, situés de surcroît aux abords de routes principales; cela suffirait - selon elle - à lui reconnaître la qualité pour agir.</w:t>
      </w:r>
    </w:p>
    <w:p>
      <w:r>
        <w:t>A l'appui de son grief, la recourante se réfère principalement aux ATF 139 II 145 et 136 II 539 ainsi qu'à la décision du Conseil fédéral du 23 mai 2001 (JAAC 65.114 consid. II 5c). Dans ces affaires, la qualité pour recourir de sections locales d'associations d'automobilistes a été reconnue en lien avec la contestation de limitations fonctionnelles du trafic touchant des routes ou autoroutes fréquentées quotidiennement par de nombreux usagers. En cela, ces précédents diffèrent du cas d'espèce: s'il apparaît vraisemblable qu'une restriction du trafic portant sur un axe routier fréquenté est susceptible d'atteindre de nombreux conducteurs faisant partie d'associations locales d'automobilistes (cf. p. ex. arrêt 1C_160/2012 du 10 décembre 2012 consid. 1.2 non publié in ATF 139 II 145 , où le tronçon de route concerné par une limitation se trouve sur un axe de trafic principal), il ne saurait en aller de même s'agissant d'un nombre limité de places de stationnement. Avec la cour cantonale, il faut à cet égard reconnaître qu'il est peu plausible qu'une majorité des membres de la recourante occupera régulièrement - c'est-à-dire avec une certaine fréquence, à intervalles rapprochés, sur une période relativement longue - ces emplacements, comme l'exige la jurisprudence (cf. ATF 136 II 539 consid. 1.1 p. 542 s. et l'arrêt cité 1A.73/2004 du 6 juillet 2004 consid. 2.2); l'association recourante est en effet composée de 15'000 membres et les emplacements ne sont qu'au nombre de 160, selon les constatations cantonales auxquelles est lié le Tribunal fédéral ( art. 105 al. 1 LTF ). Partant, et même en admettant une forte occupation quotidienne des trois parkings, seule une petite partie des membres de l'association est susceptible d'être atteinte, un jour ou l'autre, par les mesures envisagées et l'utilisation de ces emplacements par lesdits membres ne pourra</w:t>
      </w:r>
    </w:p>
    <w:p>
      <w:r>
        <w:t>de facto être qu'occasionnelle. La recourante ne prétend par ailleurs pas devant le Tribunal fédéral - ni ne l'a soutenu devant les instances précédentes - qu'une part importante de ses sociétaires nécessiterait de pouvoir y stationner régulièrement; en cela également le cas d'espèce doit être distingué des affaires précitées, qui concernaient des axes routiers pouvant, selon toute vraisemblance, constituer des points de passage obligés pour de nombreux automobilistes, pendulaires notamment.</w:t>
      </w:r>
    </w:p>
    <w:p>
      <w:r>
        <w:t>Dans ces circonstances, la cour cantonale pouvait, sans que cela ne soit critiquable, considérer que seul un nombre limité des membres de l'association recourante était potentiellement atteint par les mesures litigieuses.</w:t>
      </w:r>
    </w:p>
    <w:p>
      <w:r>
        <w:rPr>
          <w:b/>
        </w:rPr>
        <w:t>E. 3.3</w:t>
      </w:r>
    </w:p>
    <w:p>
      <w:r>
        <w:t>La recourante affirme encore que sa qualité pour recourir aurait dû lui être reconnue dès lors que le conseil communal mènerait une politique tendant à ce que des taxes de stationnement soient imposées dans tous les parkings de la ville; la majorité de ses membres serait touchée par les conséquences de cette politique. Selon elle, des arrêtés tels que ceux en cause devraient à l'avenir se succéder pour toucher l'ensemble des emplacements sis sur le territoire communal.</w:t>
      </w:r>
    </w:p>
    <w:p>
      <w:r>
        <w:t>Par cette critique, la recourante remet implicitement en cause l'établissement des faits, sans toutefois démontrer que ceux-ci auraient été établis arbitrairement par l'instance précédente, ce qui lui incombe pourtant de faire par le biais d'une argumentation circonstanciée, sous peine d'irrecevabilité (cf. ATF 136 II 101 consid. 3 p. 104 s.; 135 II 313 consid. 5.2.2 p. 322). En tout état, son grief est fondé sur de pures conjectures et les rapports du conseil communal des 14 novembre 2007 et 9 juin 2010, auxquels elle se réfère, ne lui sont dans ce cadre d'aucun secours: la commune y prévoit certes l'introduction d'une taxe pour les nouvelles places créées sur le domaine public, respectivement l'installation de systèmes d'encaissement dans les parkings d'échange, mais ne déclare toutefois pas vouloir en faire nécessairement de même sur l'ensemble de son territoire. On peut quoi qu'il en soit douter de la pertinence de ces allégations, l'objet du litige étant circonscrit aux mesures prévues par les deux arrêtés litigieux pour les parkings en cause, et non à d'hypothétiques restrictions à venir.</w:t>
      </w:r>
    </w:p>
    <w:p>
      <w:r>
        <w:rPr>
          <w:b/>
        </w:rPr>
        <w:t>E. 3.4</w:t>
      </w:r>
    </w:p>
    <w:p>
      <w:r>
        <w:t>Il découle de ce qui précède que c'est sans violer le droit fédéral que le Tribunal cantonal a déclaré irrecevables les recours interjetés par la recourante devant le DDTE.</w:t>
      </w:r>
    </w:p>
    <w:p>
      <w:r>
        <w:rPr>
          <w:b/>
        </w:rPr>
        <w:t>E. 4</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