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16/2016 vom 24. Oktober 2016</w:t>
      </w:r>
    </w:p>
    <w:p>
      <w:r>
        <w:t>Bundesgericht, 2016-10-24, FR</w:t>
      </w:r>
    </w:p>
    <w:p>
      <w:r>
        <w:rPr>
          <w:b/>
        </w:rPr>
        <w:t xml:space="preserve">Quelle: </w:t>
      </w:r>
      <w:r>
        <w:t>https://mcp.opencaselaw.ch/entscheid/bger_1C_16_2016</w:t>
      </w:r>
    </w:p>
    <w:p>
      <w:r>
        <w:t>FR: TF 1C 16/2016 du 24 octobre 2016</w:t>
      </w:r>
    </w:p>
    <w:p>
      <w:r>
        <w:t>IT: TF 1C 16/2016 del 24 ottobre 2016</w:t>
      </w:r>
    </w:p>
    <w:p>
      <w:pPr>
        <w:pStyle w:val="Heading2"/>
      </w:pPr>
      <w:r>
        <w:t>Regeste</w:t>
      </w:r>
    </w:p>
    <w:p>
      <w:r>
        <w:t>démolition et reconstruction d'un chalet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titulaire d'une part de copropriété d'une parcelle directement voisine du projet, elle est particulièrement touchée par l'arrêt attaqué confirmant l'octroi du permis de construire pour le projet de construction qu'elle juge contraire au droit. Elle peut ainsi se prévaloir d'un intérêt digne de protection à ce que cette décision soit annulée. Elle a dès lors qualité pour agir au sens de l' art. 89 al. 1 LTF . Les autres conditions de recevabilité étant réunies, il y a lieu d'entrer en matière sur le fond.</w:t>
      </w:r>
    </w:p>
    <w:p>
      <w:r>
        <w:rPr>
          <w:b/>
        </w:rPr>
        <w:t>E. 2</w:t>
      </w:r>
    </w:p>
    <w:p>
      <w:r>
        <w:t>A l'appui de son mémoire, la recourante produit, d'une part, un extrait du site Internet "comparis" au 14 janvier 2016 qui répertoriait 788 appartements et 161 maisons à vendre pour la station de Crans-Montana et, d'autre part, une publication parue au bulletin officiel du canton du Valais le 18 décembre 2015 concernant l'installation d'un panneau de vente. Postérieures à l'arrêt entrepris, ces pièces nouvelles n'ont pas à être prises en considération, en vertu de l' art. 99 al. 1 LTF .</w:t>
      </w:r>
    </w:p>
    <w:p>
      <w:r>
        <w:rPr>
          <w:b/>
        </w:rPr>
        <w:t>E. 3</w:t>
      </w:r>
    </w:p>
    <w:p>
      <w:r>
        <w:t>La recourante invoque une violation des art. 5 al. 3, 9 et 75b Cst. , art. 6 al. 1, 7 et 14 de la loi fédérale sur les résidences secondaires (LRS, RS 702, entrée en vigueur le 1er janvier 2016), et art. 3 de l'ordonnance sur les résidences secondaires du 4 décembre 2015 (ORSec, RS 702.1). Elle soutient que le projet ne pourra pas être utilisé comme résidence principale en raison de l'insuffisance de la demande dans la station de Crans-Montana. Elle se prévaut notamment du nombre considérable d'annonces immobilières publiées sur le site Internet www.comparis.ch; elle affirme que ce site répertoriait déjà 598 appartements et 96 maisons à vendre au 1er juin 2015 (cf. pièce justificative produite devant le Tribunal cantonal). Aux yeux de la recourante, il appartient à la commune de démontrer qu'il existe une forte demande de résidences principales et que l'offre de logement est insuffisante. Dans ce contexte, elle se plaint également d'une violation du principe de l'égalité de traitement.</w:t>
      </w:r>
    </w:p>
    <w:p>
      <w:r>
        <w:rPr>
          <w:b/>
        </w:rPr>
        <w:t>E. 3.1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Cette disposition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 Dans son ancienne teneur jusqu'au 31 décembre 2015, l'art. 4 let. a de l'ordonnance sur les résidences secondaires du 22 août 2012 prévoyait que, dans les communes qui comptent une proportion de résidences secondaires supérieure à 20 %, des autorisations de construire ne peuvent être accordées que pour la construction de résidences qui seront utilisées comme résidence principale. L' art. 7 al. 1 let. a LRS comporte une réglementation semblable. La nouvelle ORSec, entrée en vigueur le 1er janvier 2016,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3.2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 ATF 142 II 206 consid. 2.2; arrêt 1C_240/2014 du 24 octobre 2014 consid. 2.5). 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La doctrine confirme elle aussi l'application de ces principes dans le domaine du droit administratif (cf. MOOR/FLÜCKIGER/MARTENET, Droit administratif, vol. 1, 3e éd. 2012, § 6.4.4 p. 932; HÄFELIN/MÜLLER/UHLMANN, Allgemeines Verwaltungsrecht, 2015, p. 162; TSCHANNEN/ZIMMERLI/ MÜLLER, Allgemeines Verwaltungsrecht, 4e éd. 2014, p. 182).</w:t>
      </w:r>
    </w:p>
    <w:p>
      <w:r>
        <w:rPr>
          <w:b/>
        </w:rPr>
        <w:t>E. 3.3</w:t>
      </w:r>
    </w:p>
    <w:p>
      <w:r>
        <w:t>Dans le contexte de l' art. 75b Cst. et de ses dispositions d'application,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w:t>
      </w:r>
    </w:p>
    <w:p>
      <w:r>
        <w:rPr>
          <w:b/>
        </w:rPr>
        <w:t>E. 3.4</w:t>
      </w:r>
    </w:p>
    <w:p>
      <w:r>
        <w:t>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La jurisprudence rendue à propos de l' art. 75b Cst. n'a jamais encore retenu définitivement l'abus de droit. Dans ses arrêts rendus jusqu'à présent, le Tribunal fédéral l'a nié dans une majorité de cas et, dans les autres, a renvoyé le dossier pour instruction complémentaire (voir le résumé de jurisprudence publié à l' ATF 142 II 206 consid. 3). L'abus de droit a toujours été nié dans les cas concernant des logements uniques pour lesquels une utilisation comme résidence principale n'est pas exclue d'emblée (cf. arrêts 1C_542/2014 du 14 août 2015, 1C_348/2014 du 20 février 2015, 1C_916/2013 du 19 février 2015 et 1C_240/2014 du 24 octobre 2014).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(cf. ATF 142 II 206 consid. 3.2 p. 213 s.; arrêt 1C_546/2015 du 23 juin 2016 consid. 2.4).</w:t>
      </w:r>
    </w:p>
    <w:p>
      <w:r>
        <w:rPr>
          <w:b/>
        </w:rPr>
        <w:t>E. 3.5</w:t>
      </w:r>
    </w:p>
    <w:p>
      <w:r>
        <w:t>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prévue fasse l'objet de vérifications sérieuses. Selon l'art. 33 de la loi valaisanne sur les constructions (RS/VS 705.1), la procédure d'autorisation de construire et la police des constructions ont pour but la mise en oeuvre du droit des constructions et la sauvegarde de l'ordre et de la sécurité publics en matière de construction, ainsi que du patrimoine naturel et bâti (al. 1). Les autorités prennent, dans les limites de leur compétence, les mesures prévues par la loi et doivent en particulier établir les faits pertinents (al. 3). Par ailleurs, selon la règle générale de l'art. 17 de la loi cantonale sur la procédure et la juridiction administratives (RS/VS 172.6), l'autorité établit d'office les faits sans être limitée par les allégations et les offres de preuve des parties. En outre, selon l'art. 18 de la même loi, les parties sont tenues de collaborer à l'établissement des faits, notamment dans les procédures qu'elles introduisent elles-mêmes, ce qui est le cas de la procédure d'autorisation de construire. Il appartient dès lors à l'autorité chargée de la délivrance des permis de construire de s'assurer que les conditions posées pourront être respectées.</w:t>
      </w:r>
    </w:p>
    <w:p>
      <w:r>
        <w:rPr>
          <w:b/>
        </w:rPr>
        <w:t>E. 3.6</w:t>
      </w:r>
    </w:p>
    <w:p>
      <w:r>
        <w:t>En l'espèce, le permis contesté concerne la construction d'un chalet de haut-standing à Crans-Montana dans un secteur largement bâti de cette station touristique habitée à l'année. L'intimée n'a pas prétendu, au cours de la présente procédure, vouloir utiliser personnellement, à titre de résidence principale, un des deux logements composant le chalet. Certes, comme le relève la cour cantonale, la construction de ces deux logements n'aura pas d'incidence déterminante sur le marché immobilier. Cet élément ne permet toutefois pas de faire abstraction du nombre très important de logements qui se trouvent simultanément offerts à la vente dans une station notoirement vouée au tourisme. Le Conseil d'Etat et le Tribunal cantonal ne pouvaient, dans ces circonstances, s'abstenir de compléter l'instruction en obligeant la commune de Chermignon à s'assurer - ou tout au moins à rendre vraisemblable - qu'il existe une demande correspondante pour des résidences principales de haut-standing que l'offre actuelle ne suffirait pas à satisfaire (cf. ATF 142 II 206 consid. 4.1 et 4.4 p. 214 s.; arrêt 1C_546/2015 consid. 2.5 in fine). Ainsi, les instances précédentes devront notamment déterminer le taux de vacances pour ce type de résidence sur le marché de la vente immobilière et sur celui de la location (cf. ATF 142 II 206 consid. 4.4 p. 215). Elles devront aussi donner des indications quant à une éventuelle augmentation de la population résidente dans le secteur concerné.</w:t>
      </w:r>
    </w:p>
    <w:p>
      <w:r>
        <w:rPr>
          <w:b/>
        </w:rPr>
        <w:t>E. 4</w:t>
      </w:r>
    </w:p>
    <w:p>
      <w:r>
        <w:t>Le recours doit dès lors être admis, au sens des considérants qui précèdent. Il y a lieu de renvoyer la cause à la Cour cantonale à qui il appartiendra de décider si elle entend procéder elle-même aux compléments d'instruction nécessaires ou si elle désire renvoyer la cause à une instance précédente (Commune ou Conseil d'Etat). Conformément aux art. 66 et 68 LTF les frais judiciaires sont mis à la charge de l'intimée qui succombe, de même que l'indemnité de dépens allouée à la recourante, qui obtient gain de cause avec l'assistance d'un avocat. Enfin, vu l'admission du présent recours et le renvoi de la cause à l'instance précédente pour nouvelle décision, il convient de suspendre la procédure 1C_22/2016 jusqu'à droit connu dans la présente cause (cf. art. 6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