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1C_16/2015 vom 3. September 2015</w:t>
      </w:r>
    </w:p>
    <w:p>
      <w:r>
        <w:t>Bundesgericht, 2015-09-03, FR</w:t>
      </w:r>
    </w:p>
    <w:p>
      <w:r>
        <w:rPr>
          <w:b/>
        </w:rPr>
        <w:t xml:space="preserve">Quelle: </w:t>
      </w:r>
      <w:r>
        <w:t>https://mcp.opencaselaw.ch/entscheid/bger_1C_16_2015</w:t>
      </w:r>
    </w:p>
    <w:p>
      <w:r>
        <w:t>FR: TF 1C_16/2015 du 3 septembre 2015</w:t>
      </w:r>
    </w:p>
    <w:p>
      <w:r>
        <w:t>IT: TF 1C_16/2015 del 3 settembre 2015</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La recourante a pris part à la procédure devant l'autorité précédente et est particulièrement touchée par l'arrêt attaqué qui rejette la demande d'autorisation de vendre des objets immobiliers dont elle est propriétaire. Elle dispose dès lors de la qualité pour recourir devant le Tribunal fédéral au sens de l' art. 89 al. 1 LTF .</w:t>
      </w:r>
    </w:p>
    <w:p>
      <w:r>
        <w:t>Le recours est également recevable dans la mesure où il est dirigé contre l'arrêt du 10 octobre 2012, qui, en tant qu'arrêt de renvoi, présente un caractère incident au sens de l' art. 93 al. 3 LTF et influe sur l'arrêt du 26 novembre 2014.</w:t>
      </w:r>
    </w:p>
    <w:p>
      <w:r>
        <w:t>Les autres conditions de recevabilité du recours sont réunies si bien qu'il y a lieu d'entrer en matière.</w:t>
      </w:r>
    </w:p>
    <w:p>
      <w:r>
        <w:rPr>
          <w:b/>
        </w:rPr>
        <w:t>E. 2</w:t>
      </w:r>
    </w:p>
    <w:p>
      <w:r>
        <w:t>Les griefs de violation des droits fondamentaux et de droit cantonal sont soumis à des exigences de motivation accrues ( art. 106 al. 2 LTF ). La partie recourante doit alors mentionner les principes constitutionnels qui n'auraient pas été respectés et expliquer de manière claire et précise en quoi ces principes auraient été violés ( ATF 136 II 489 consid. 2.8 p. 494).</w:t>
      </w:r>
    </w:p>
    <w:p>
      <w:r>
        <w:rPr>
          <w:b/>
        </w:rPr>
        <w:t>E. 3</w:t>
      </w:r>
    </w:p>
    <w:p>
      <w:r>
        <w:t>Dans son arrêt de 2012, la cour cantonale avait constaté que, compte tenu des incertitudes concernant les engagements pris par les acquéreurs de maintenir les objets en location, des effets probables de la vente sur l'évolution des loyers et du fait que les acquisitions seraient faites à titre d'investissement, aucune autre circonstance ne commandait l'aliénation de l'objet au sens de l'art. 4 al. 2 LAAL. Conformément au principe de proportionnalité, il convenait toutefois d'examiner si les autorisations de vente pouvaient être confirmées vu les conditions auxquelles elles étaient soumises. Or, l'une de ces conditions - celle de la fixation du prix - entravant la garantie de la propriété dans une mesure excédant ce que permet l' art. 36 Cst. , elle ne pouvait être retenue et l'autorité administrative devait examiner si la condition restante suffisait à satisfaire au but de la LAAL.</w:t>
      </w:r>
    </w:p>
    <w:p>
      <w:r>
        <w:t>La recourante ne conteste pas l'appréciation de la cour cantonale relative à l'absence de circonstance commandant l'aliénation de l'objet, de sorte que cette question n'est plus litigieuse. La recourante ne conteste pas non plus la suppression de la condition relative à la fixation du prix par l'autorité. Elle s'en prend en revanche au refus subséquent d'autoriser la vente, faute, selon les autorités, de garanties que les logements seront maintenus dans la catégorie à pénurie à laquelle ils appartiennent.</w:t>
      </w:r>
    </w:p>
    <w:p>
      <w:r>
        <w:t>A cet égard, la cour cantonale a considéré dans son second arrêt que la seule surveillance administrative des loyers durant cinq ans ne permettait pas d'éviter qu'à l'échéance de cette période, les loyers seraient revus à la hausse au point de faire sortir les appartements litigieux des catégories touchées par la pénurie. La jurisprudence prévoit en effet qu'en cas de sortie de logements loués du contrôle cantonal des loyers, ceux-ci peuvent être fixés selon la méthode des critères absolus prévue par le droit du bail ( ATF 123 II 171 consid. 6a p. 173; 117 II 77 consid. 2 p. 80). Selon ces critères, le loyer est admissible tant qu'il ne procure pas de rendement excessif au bailleur ou qu'il ne résulte pas d'un prix d'achat manifestement exagéré ( art. 269 CO ). Le prix d'achat est manifestement exagéré lorsqu'il dépasse considérablement la valeur de rendement d'un immeuble calculée sur la base des loyers usuels dans la localité ou le quartier pour des objets semblables (art. 10 de l'ordonnance du 19 mai 1990 sur le bail à loyer et le bail à ferme d'habitation et de locaux commerciaux [OBLF; RS 221.213.11]), ce qui, selon la jurisprudence, n'est pas reconnu pour un dépassement de moins de 10 %. Vu l'augmentation des loyers dans le quartier concerné et dans la commune de Lausanne, la CDAP a jugé peu probable que les prix de vente prévus seraient considérés comme manifestement exagérés au sens du droit du bail. Selon les premiers juges, il était par conséquent douteux que le droit du bail permette de limiter les hausses de loyer de manière à respecter les objectifs de la LAAL. Les autorisations ne pouvaient par conséquent pas être accordées du tout.</w:t>
      </w:r>
    </w:p>
    <w:p>
      <w:r>
        <w:rPr>
          <w:b/>
        </w:rPr>
        <w:t>E. 4</w:t>
      </w:r>
    </w:p>
    <w:p>
      <w:r>
        <w:t>La recourante fait valoir une application arbitraire du droit cantonal.</w:t>
      </w:r>
    </w:p>
    <w:p>
      <w:r>
        <w:rPr>
          <w:b/>
        </w:rPr>
        <w:t>E. 4.1</w:t>
      </w:r>
    </w:p>
    <w:p>
      <w:r>
        <w:t>Selon l'art. 2 al. 1 LAAL, l'aliénation à titre onéreux, sous quelque forme que ce soit, d'un appartement à usage d'habitation jusqu'alors loué, est soumise à autorisation. L'art. 4 al. 1 LAAL précise que l'autorisation est accordée lorsque l'appartement n'appartient pas à une catégorie où sévit la pénurie de logements (let. a), est soumis au régime de la propriété par étages (ou à une forme de propriété analogue) depuis la construction de l'immeuble ou avant le 7 octobre 1989 (let. b) ou est acquis par son locataire actuel sans que celui-ci ait été placé devant l'alternative d'acheter son logement ou de partir (let. c). L'autorisation est également accordée lorsque d'autres circonstances commandent l'aliénation (art. 4 al. 2 LAAL). L'autorisation peut être soumise à certaines conditions, notamment concernant le relogement du locataire (art. 4 al. 3 LAAL). Lorsqu'aucune des conditions posées à l'art. 4 n'est réalisée, l'autorisation est refusée (art. 5 LAAL).</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celle-ci soit arbitraire dans son résultat ( ATF 140 III 167 consid. 2.1 p. 168; 138 I 305 consid. 4.3 p. 319; 138 III 378 consid. 6.1 p. 379).</w:t>
      </w:r>
    </w:p>
    <w:p>
      <w:r>
        <w:rPr>
          <w:b/>
        </w:rPr>
        <w:t>E. 4.2</w:t>
      </w:r>
    </w:p>
    <w:p>
      <w:r>
        <w:t>En l'espèce, la cour cantonale a qualifié d'incertain le maintien des appartements dans le parc locatif. Indépendamment de cette problématique, les autorités craignent quoi qu'il en soit, à l'issue de la période de contrôle des loyers, des hausses de loyers telles que ces appartements sortiraient de la catégorie de logements répondant aux besoins prépondérants de la population. Sur ce point, il n'est pas arbitraire de considérer que les mécanismes du droit du bail ne seront pas nécessairement efficaces. En effet, les premiers juges ont expressément relevé la marge de manoeuvre à disposition des bailleurs dans la fixation du loyer selon la méthode absolue. Ils ont souligné les prix de vente - implicitement considérés comme étant très élevés sans être "manifestement excessifs" - sur lesquels les parties se sont mises d'accord. C'est sur la base de telles données, concrètes, et sur les possibilités d'augmentation de loyer qui en découlent en accord avec le droit du bail, que la cour cantonale a jugé que le but visé par la LAAL était compromis. Or, la recourante ne s'en prend pas à ces aspects, mais se contente, par une argumentation appellatoire, de faire valoir que, de manière générale, les mécanismes du droit du bail empêchent le bailleur de transférer sur le locataire les conséquences financières d'une acquisition effectuée à un prix trop élevé. Elle échoue ainsi à démontrer l'arbitraire du raisonnement des premiers juges.</w:t>
      </w:r>
    </w:p>
    <w:p>
      <w:r>
        <w:rPr>
          <w:b/>
        </w:rPr>
        <w:t>E. 5</w:t>
      </w:r>
    </w:p>
    <w:p>
      <w:r>
        <w:t>La recourante se plaint par ailleurs d'une violation de la garantie de la propriété en raison du non-respect du principe de proportionnalité.</w:t>
      </w:r>
    </w:p>
    <w:p>
      <w:r>
        <w:rPr>
          <w:b/>
        </w:rPr>
        <w:t>E. 5.1</w:t>
      </w:r>
    </w:p>
    <w:p>
      <w:r>
        <w:t>La garantie de la propriété ancrée à l' art. 26 al. 1 Cst. n'est pas absolue. Comme tout droit fondamental, elle peut être restreinte aux conditions fixées à l' art. 36 Cst. La restriction doit ainsi respecter le principe de la proportionnalité, qui exige notamment que le but visé ne puisse être atteint par une mesure moins contraignante ( ATF 140 I 168 consid. 4.2.1 p. 173; 135 I 233 consid. 3.1 p. 246).</w:t>
      </w:r>
    </w:p>
    <w:p>
      <w:r>
        <w:rPr>
          <w:b/>
        </w:rPr>
        <w:t>E. 5.2</w:t>
      </w:r>
    </w:p>
    <w:p>
      <w:r>
        <w:t>Le Tribunal fédéral a déjà eu l'occasion de considérer que l'intérêt public poursuivi par les législations cantonales tendant à préserver l'habitat et les conditions de vie existants, notamment en restreignant l'aliénation de maisons d'habitation, procède d'un intérêt public important ( ATF 128 I 206 consid. 5.2.4 p. 211 s.; 113 Ia 126 consid. 7a p. 134; 111 Ia 23 consid. 3a p. 26 et les arrêts cités). Ce type de réglementation n'est en soi pas contraire au droit fédéral et à la garantie de la propriété, y compris dans la mesure où elle prévoit le refus de l'autorisation de vendre un appartement loué lorsqu'un motif prépondérant d'intérêt public ou d'intérêt général s'y oppose: pourvu que l'autorité administrative effectue une pesée des intérêts en présence et évalue l'importance du motif de refus au regard des intérêts privés en jeu ( ATF 113 Ia 126 consid. 7b/aa p. 137; en dernier lieu: arrêt 1C_68/2015 du 5 août 2015 consid. 2.3). La LAAL vaudoise poursuit de tels objectifs, sans toutefois prévoir expressément, comme le fait notamment le droit genevois applicable dans les arrêts précités, une pesée des intérêts en présence. Comme l'a relevé la cour cantonale, un tel examen, tout comme celui du respect du principe de proportionnalité, découle néanmoins de l' art. 36 Cst.</w:t>
      </w:r>
    </w:p>
    <w:p>
      <w:r>
        <w:rPr>
          <w:b/>
        </w:rPr>
        <w:t>E. 5.3</w:t>
      </w:r>
    </w:p>
    <w:p>
      <w:r>
        <w:t>Alors qu'il lui incombait de se livrer à un tel examen en vertu du principe de proportionnalité, la cour cantonale n'a pas examiné si d'autres conditions pouvaient être imposées pour que la vente puisse être autorisée tout en assurant le respect des objectifs posés par la LAAL. Il convient à cet égard de souligner que la cour cantonale avait jugé dans de précédentes affaires que la condition de la fixation d'un prix de vente était une condition inadmissible, faute de base légale, sous l'angle de la garantie de la propriété. De même, selon la jurisprudence cantonale signalée par les parties, la cour cantonale avait jugé non conforme à la garantie de la propriété un contrôle des loyers au-delà d'une période de cinq ans en cas d'aliénation, alors même que le droit cantonal prévoit un contrôle de dix ans en cas de travaux (arrêt de la Cour de droit administratif et public du Tribunal cantonal vaudois FO.2008.0019 du 3 février 2009). Or, il apparaît paradoxal, pour ne pas dire arbitraire, de ne pas examiner d'éventuelles autres conditions auxquelles soumettre l'autorisation de vendre au motif qu'elles ne peuvent être imposées à la propriétaire sauf à violer la garantie de la propriété, tout en refusant purement et simplement l'autorisation de vendre, mesure pourtant largement plus restrictive qu'une autorisation sous conditions.</w:t>
      </w:r>
    </w:p>
    <w:p>
      <w:r>
        <w:t>Comme le relève l'autorité administrative intimée, le choix de la mesure peut notamment dépendre de la qualité des parties - en l'occurrence une agence immobilière et non un particulier - et de leurs intentions, ce qui justifie un examen de cas en cas des conditions pouvant être imposées. Aussi, si dans l'arrêt cantonal topique relatif à la durée maximale du contrôle des loyers, le Tribunal cantonal vaudois a estimé qu'il se justifiait de fixer cette limite à 5 ans, cela ne signifie pas encore qu'il faille en tirer une règle générale. Le droit cantonal vaudois prévoit lui-même un contrôle des loyers sur dix ans en cas de travaux de rénovation (art. 4 al. 3 de la loi vaudoise du 4 mars 1985 concernant la démolition, la transformation et la rénovation de maisons d'habitation, ainsi que l'utilisation de logements à d'autres fins que l'habitation [LDTR; RSV 840.15 ]). Quant à la jurisprudence fédérale, elle reconnaît qu'une telle mesure peut être compatible avec la garantie de la propriété ( ATF 131 I 333 consid. 2.1 p. 336; 101 Ia 502 consid. 5d p. 513 s.). L'autorité intimée admet pour sa part dans sa réponse au recours qu'une période de contrôle des loyers plus longue pourrait concourir de manière satisfaisante aux objectifs poursuivis par la LAAL.</w:t>
      </w:r>
    </w:p>
    <w:p>
      <w:r>
        <w:t>Il n'est pas exclu que certaines mesures, seules ou combinées, soient propres à ce qu'une vente puisse être autorisée sans compromettre le but visé par la LAAL. Elles porteraient en tout état moins atteinte à la garantie de la propriété qu'une interdiction complète de vente. Cela étant, il n'appartient pas au Tribunal fédéral d'évaluer pour la première fois dans la procédure la pertinence de ces éventuelles mesures. Aussi la cause doit-elle être renvoyée à la cour cantonale pour que celle-ci examine, conformément au principe de proportionnalité, si une autorisation de vente assortie de conditions, cas échéant lesquelles, peut être délivrée ou si les objectifs à atteindre imposent un refus pur et simple de l'autorisation.</w:t>
      </w:r>
    </w:p>
    <w:p>
      <w:r>
        <w:rPr>
          <w:b/>
        </w:rPr>
        <w:t>E. 6</w:t>
      </w:r>
    </w:p>
    <w:p>
      <w:r>
        <w:t>Il résulte de ce qui précède que le recours doit être admis. Le présent arrêt est rendu sans frais ( art. 66 al. 4 LTF ). La recourante, qui obtient gain de cause avec l'aide d'un avocat, a droit à des dépens à la charge de l'Etat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