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1C_169/2021 vom 6. Mai 2021</w:t>
      </w:r>
    </w:p>
    <w:p>
      <w:r>
        <w:t>Bundesgericht, 2021-05-06, DE</w:t>
      </w:r>
    </w:p>
    <w:p>
      <w:r>
        <w:rPr>
          <w:b/>
        </w:rPr>
        <w:t xml:space="preserve">Quelle: </w:t>
      </w:r>
      <w:r>
        <w:t>https://mcp.opencaselaw.ch/entscheid/bger_1C_169_2021</w:t>
      </w:r>
    </w:p>
    <w:p>
      <w:r>
        <w:t>FR: TF 1C_169/2021 du 6 mai 2021</w:t>
      </w:r>
    </w:p>
    <w:p>
      <w:r>
        <w:t>IT: TF 1C_169/2021 del 6 maggio 2021</w:t>
      </w:r>
    </w:p>
    <w:p>
      <w:pPr>
        <w:pStyle w:val="Heading2"/>
      </w:pPr>
      <w:r>
        <w:t>Erwägungen</w:t>
      </w:r>
    </w:p>
    <w:p>
      <w:r>
        <w:rPr>
          <w:b/>
        </w:rPr>
        <w:t>E. 1.1</w:t>
      </w:r>
    </w:p>
    <w:p>
      <w:r>
        <w:t>Der Beschwerdeführer beantragt die Sistierung des bundesgerichtlichen Verfahrens, da vor dem Gericht von La Spezia noch "Anträge" gegen dessen Entscheid vom 17. Februar 2021 hängig seien. Gemäss Art. 17a IRSG gilt das Gebot der raschen Erledigung. Nach dessen Absatz 1 erledigt die zuständige Behörde die Ersuchen beförderlich. Sie entscheidet ohne Verzug. Diese Bestimmung gilt auch für das Bundesgericht (Urteil 1C_388/2020 vom 13. Juli 2020 E. 1 mit Hinweis). Wie die folgenden Erwägungen zeigen, ist die vorliegende Sache spruchreif. Diesbezüglich kann auch auf die nachvollziehbaren vorinstanzlichen Erwägungen verwiesen werden. Demnach macht der Beschwerdeführer nicht geltend, dass im Falle eines Obsiegens vor dem Gericht von La Spezia die noch zu verbüssende Strafe weniger als vier Monate betragen würde. Folglich wäre auch bei einem Obsiegen die Auslieferung grundsätzlich zulässig. Somit sei aber auch nicht ersichtlich, inwiefern das angeblich im Frühsommer 2021 zu erwartende Urteil des Gerichts von La Spezia präjudizielle Wirkung auf das vorliegende Verfahren haben soll (vgl. angefochtener Entscheid E. 4). Für die beantragte Sistierung des bundesgerichtlichen Verfahrens besteht deshalb kein Anlass.</w:t>
      </w:r>
    </w:p>
    <w:p>
      <w:r>
        <w:rPr>
          <w:b/>
        </w:rPr>
        <w:t>E. 1.2</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Ein besonders bedeutender Fall liegt insbesondere vor, wenn Gründe für die Annahme bestehen, dass elementare Verfahrensgrundsätze verletzt worden sind oder das Verfahren im Ausland schwere Mängel aufweist ( Art. 84 Abs. 2 BGG ; BGE 145 IV 99 E. 1 S. 104 ff.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S. 104 f. mit Hinweisen).</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rPr>
          <w:b/>
        </w:rPr>
        <w:t>E. 1.3</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S. 107 mit Hinweisen).</w:t>
      </w:r>
    </w:p>
    <w:p>
      <w:r>
        <w:rPr>
          <w:b/>
        </w:rPr>
        <w:t>E. 1.4</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2.1</w:t>
      </w:r>
    </w:p>
    <w:p>
      <w:r>
        <w:t>Der Beschwerdeführer ist der Auffassung, die notwendige, ausserordentliche Bedeutsamkeit der Angelegenheit ergebe sich bereits aus dem Umstand, dass der angeblich zu verbüssende Strafrest von 9 Jahren, 11 Monaten und 4 Tage auf 7 Jahre und 11 Monate verkürzt worden sei. Diese Tatsache zeuge davon, dass die italienischen Urteile, welche dem Auslieferungsbegehren zugrunde lägen, massive Fehler aufwiesen.</w:t>
      </w:r>
    </w:p>
    <w:p>
      <w:r>
        <w:t>Dieser Auffassung kann indes nicht gefolgt werden. Einzig der Umstand, dass der verbüssende Strafrest mit Urteil vom 17. Februar 2021 um zwei Jahre verkürzt wurde, lässt nicht ohne Weiteres darauf schliessen, die rechtskräftigen italienischen Urteile würden massive Fehler aufweisen bzw. das Verfahren in Italien sei mit schweren Mängeln behaftet. Dem aktenkundigen Urteil vom 17. Februar 2021 kann ausführlich entnommen werden, weshalb eine Verkürzung des zu verbüssenden Strafrests um zwei Jahre erfolgte. Dass das Verfahren in Italien massive Mängel aufweise, lässt sich daraus aber nicht schliessen, zumal der Beschwerdeführer auch nicht aufzeigt, worin die Mängel tatsächlich liegen sollten.</w:t>
      </w:r>
    </w:p>
    <w:p>
      <w:r>
        <w:rPr>
          <w:b/>
        </w:rPr>
        <w:t>E. 2.2</w:t>
      </w:r>
    </w:p>
    <w:p>
      <w:r>
        <w:t>Sodann verletzte die Vorinstanz auch nicht den Anspruch des Beschwerdeführers auf rechtliches Gehör. Seine Kritik, das Auslieferungsbegehren sei nicht in "kompletter Form" eingereicht worden und es sei eine "lückenlose Dokumentation" für die Beurteilung des Auslieferungsbegehrens notwendig, verfängt nicht. Die Vorinstanz legte ausführlich dar, weshalb sie die Dokumentation der italienischen Behörden für die Beurteilung des Auslieferungsbegehrens als genügend erachtete und das Auslieferungsersuchen den Anforderungen an Art. 12 des Europäischen Auslieferungsübereinkommens vom 13. Dezember 1957 (EAUe; SR 0.353.1) sowie Art. 2 Ziff. 2 lit. a des Vierten Zusatzprotokolls zum EAUe vom 20. September 2012 (SR 0.353.14) gerecht werde. Darauf kann verwiesen werden (angefochtener Entscheid E. 5, insb. E. 5.3).</w:t>
      </w:r>
    </w:p>
    <w:p>
      <w:r>
        <w:rPr>
          <w:b/>
        </w:rPr>
        <w:t>E. 2.3</w:t>
      </w:r>
    </w:p>
    <w:p>
      <w:r>
        <w:t>Der Beschwerdeführer macht weiter geltend, es müsse davon ausgegangen werden, dass die Gefängnisse in Italien überbelegt seien. Die Haftverhältnisse hätten sich seit dem Urteil Torreggiani höchstens temporär verbessert, weshalb die Schweizer Praxis "von Grund auf" zu überdenken sei. Die Überbelegung in italienischen Gefängnissen werfe in Pandemiezeiten existenzielle Fragen auf.</w:t>
      </w:r>
    </w:p>
    <w:p>
      <w:r>
        <w:t>Die vorinstanzlichen Erwägungen stützen sich indes auf die bundesgerichtliche Rechtsprechung und lassen keine Rechtsverletzung erkennen (angefochtener Entscheid E. 9). Das Bundesgericht hat sich seit dem Urteil Torreggiani wiederholt mit der Frage, ob die Haftbedingungen in italienischen Gefängnissen einer Auslieferung entgegenstehen, befasst (vgl. Urteil des EGMR Torreggiani u.a. gegen Italien vom 8. Januar 2013, Nr. 43517/09 u.a.). Es ist unter Berücksichtigung zahlreicher Reformmassnahmen Italiens zur Reduktion der Überbelegung der Gefängnisse zum Schluss gekommen, dass die Auslieferung nicht mehr von Garantien abhängig gemacht werden muss (Urteil 1C_261/2019 vom 21. Mai 2019 E. 1.2 mit Hinweisen). Bei der Beurteilung der Gefahr einer mit Art. 3 EMRK unvereinbaren Behandlung im Zielstaat ist zudem dem Umstand Rechnung zu tragen, dass es sich bei diesem um einen EMRK-Vertragsstaat mit entsprechenden Rechtsmittelmöglichkeiten handelt (Entscheid des EGMR Kaplan gegen Deutschland vom 15. Dezember 2009, Nr. 43212/05). Die Kritik des Beschwerdeführers gibt - auch unter Berücksichtigung der derzeitigen Corona-Pandemie - keinen Anlass, auf diese Rechtsprechung zurückzukommen.</w:t>
      </w:r>
    </w:p>
    <w:p>
      <w:r>
        <w:rPr>
          <w:b/>
        </w:rPr>
        <w:t>E. 2.4</w:t>
      </w:r>
    </w:p>
    <w:p>
      <w:r>
        <w:t>Schliesslich hat sich die Vorinstanz auch ausführlich mit dem Einwand des Beschwerdeführers auseinandergesetzt, wonach das Urteil des Gerichts von La Spezia vom 10. November 2017 in seiner Abwesenheit erfolgt sei. Gemäss den vorinstanzlichen Ausführungen trifft es zwar zu, dass der Beschwerdeführer selbst nicht anwesend war. Indes war er durch einen Wahlverteidiger bzw. einen Substituten verteidigt. Dieser erhob zudem Berufung gegen das Urteil. Sodann wurde durch einen anderen Verteidiger auch noch gegen das Berufungsurteil beim Kassationshof Beschwerde erhoben. Damit steht fest, dass die minimalen Verteidigungsrechte des Beschwerdeführers nicht verletzt wurden. Darauf kann vollumfänglich verwiesen werden (angefochtener Entscheid E. 7).</w:t>
      </w:r>
    </w:p>
    <w:p>
      <w:r>
        <w:rPr>
          <w:b/>
        </w:rPr>
        <w:t>E. 2.5</w:t>
      </w:r>
    </w:p>
    <w:p>
      <w:r>
        <w:t>Inwiefern aus einem anderen Grund ein besonders bedeutender Fall gegeben wäre, legt der Beschwerdeführer nicht dar und ist auch nicht ersichtlich. Der Angelegenheit kommt keine aussergewöhnliche Tragweite zu. Für das Bundesgericht besteht deshalb kein Anlass, die Sache an die Hand zu nehmen.</w:t>
      </w:r>
    </w:p>
    <w:p>
      <w:r>
        <w:rPr>
          <w:b/>
        </w:rPr>
        <w:t>E. 3</w:t>
      </w:r>
    </w:p>
    <w:p>
      <w:r>
        <w:t>Auf die Beschwerde ist nicht einzutreten.</w:t>
      </w:r>
    </w:p>
    <w:p>
      <w:r>
        <w:t>Das Gesuch des Beschwerdeführers um unentgeltliche Prozessführung kann wegen Aussichtslosigkeit nicht bewilligt werden ( Art. 64 BGG ). Unter den gegebenen Umständen erscheint es indessen gerechtfertigt, dem Beschwerdeführer keine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