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168/2021 vom 19. April 2021</w:t>
      </w:r>
    </w:p>
    <w:p>
      <w:r>
        <w:t>Bundesgericht, 2021-04-19, IT</w:t>
      </w:r>
    </w:p>
    <w:p>
      <w:r>
        <w:rPr>
          <w:b/>
        </w:rPr>
        <w:t xml:space="preserve">Quelle: </w:t>
      </w:r>
      <w:r>
        <w:t>https://mcp.opencaselaw.ch/entscheid/bger_1C_168_2021</w:t>
      </w:r>
    </w:p>
    <w:p>
      <w:r>
        <w:t>FR: TF 1C 168/2021 du 19 avril 2021</w:t>
      </w:r>
    </w:p>
    <w:p>
      <w:r>
        <w:t>IT: TF 1C 168/2021 del 19 aprile 2021</w:t>
      </w:r>
    </w:p>
    <w:p>
      <w:pPr>
        <w:pStyle w:val="Heading2"/>
      </w:pPr>
      <w:r>
        <w:t>Regeste</w:t>
      </w:r>
    </w:p>
    <w:p>
      <w:r>
        <w:t>Elezioni patriziali; stralcio di una candidatura | Diritti politici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 ricorrente.</w:t>
      </w:r>
    </w:p>
    <w:p>
      <w:r>
        <w:rPr>
          <w:b/>
        </w:rPr>
        <w:t>E. 3</w:t>
      </w:r>
    </w:p>
    <w:p>
      <w:r>
        <w:t>Comunicazione al ricorrente, al Presidente dell'Ufficio patriziale di Villa Luganese, al Tribunale cantonale amministrativo e, per conoscenza, alla Cancelleria dello Stato della Repubblica e Cantone Ticino, Servizio dei diritti politici. Losanna, 19 aprile 2021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